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83D9B" w14:textId="77777777" w:rsidR="00E025D4" w:rsidRDefault="0008207A">
      <w:pPr>
        <w:pBdr>
          <w:top w:val="nil"/>
          <w:left w:val="nil"/>
          <w:bottom w:val="nil"/>
          <w:right w:val="nil"/>
          <w:between w:val="nil"/>
        </w:pBdr>
        <w:rPr>
          <w:rFonts w:cs="Arial"/>
          <w:b/>
          <w:color w:val="000000"/>
        </w:rPr>
      </w:pPr>
      <w:r>
        <w:rPr>
          <w:noProof/>
        </w:rPr>
        <w:drawing>
          <wp:anchor distT="0" distB="0" distL="0" distR="0" simplePos="0" relativeHeight="251658240" behindDoc="1" locked="0" layoutInCell="1" hidden="0" allowOverlap="1" wp14:anchorId="0D643DD6" wp14:editId="59A4EA05">
            <wp:simplePos x="0" y="0"/>
            <wp:positionH relativeFrom="column">
              <wp:posOffset>3143250</wp:posOffset>
            </wp:positionH>
            <wp:positionV relativeFrom="paragraph">
              <wp:posOffset>-838198</wp:posOffset>
            </wp:positionV>
            <wp:extent cx="3432883" cy="1565184"/>
            <wp:effectExtent l="0" t="0" r="0" b="0"/>
            <wp:wrapNone/>
            <wp:docPr id="6"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8"/>
                    <a:srcRect l="28085" t="13295" r="28540" b="51546"/>
                    <a:stretch>
                      <a:fillRect/>
                    </a:stretch>
                  </pic:blipFill>
                  <pic:spPr>
                    <a:xfrm>
                      <a:off x="0" y="0"/>
                      <a:ext cx="3432883" cy="1565184"/>
                    </a:xfrm>
                    <a:prstGeom prst="rect">
                      <a:avLst/>
                    </a:prstGeom>
                    <a:ln/>
                  </pic:spPr>
                </pic:pic>
              </a:graphicData>
            </a:graphic>
          </wp:anchor>
        </w:drawing>
      </w:r>
    </w:p>
    <w:p w14:paraId="22E04BB0" w14:textId="77777777" w:rsidR="00E025D4" w:rsidRDefault="00E025D4">
      <w:pPr>
        <w:pBdr>
          <w:top w:val="nil"/>
          <w:left w:val="nil"/>
          <w:bottom w:val="nil"/>
          <w:right w:val="nil"/>
          <w:between w:val="nil"/>
        </w:pBdr>
        <w:rPr>
          <w:rFonts w:cs="Arial"/>
          <w:b/>
          <w:color w:val="000000"/>
        </w:rPr>
      </w:pPr>
    </w:p>
    <w:p w14:paraId="11C45364" w14:textId="77777777" w:rsidR="00E025D4" w:rsidRDefault="00E025D4">
      <w:pPr>
        <w:pBdr>
          <w:top w:val="nil"/>
          <w:left w:val="nil"/>
          <w:bottom w:val="nil"/>
          <w:right w:val="nil"/>
          <w:between w:val="nil"/>
        </w:pBdr>
        <w:rPr>
          <w:b/>
        </w:rPr>
      </w:pPr>
    </w:p>
    <w:p w14:paraId="33BFDC80" w14:textId="77777777" w:rsidR="00E025D4" w:rsidRDefault="00E025D4">
      <w:pPr>
        <w:pBdr>
          <w:top w:val="nil"/>
          <w:left w:val="nil"/>
          <w:bottom w:val="nil"/>
          <w:right w:val="nil"/>
          <w:between w:val="nil"/>
        </w:pBdr>
        <w:rPr>
          <w:rFonts w:cs="Arial"/>
          <w:b/>
          <w:color w:val="000000"/>
        </w:rPr>
      </w:pPr>
    </w:p>
    <w:p w14:paraId="627AE4AD" w14:textId="77777777" w:rsidR="00E025D4" w:rsidRDefault="0008207A">
      <w:pPr>
        <w:pBdr>
          <w:top w:val="nil"/>
          <w:left w:val="nil"/>
          <w:bottom w:val="nil"/>
          <w:right w:val="nil"/>
          <w:between w:val="nil"/>
        </w:pBdr>
        <w:rPr>
          <w:rFonts w:cs="Arial"/>
          <w:b/>
          <w:color w:val="000000"/>
        </w:rPr>
      </w:pPr>
      <w:r>
        <w:rPr>
          <w:noProof/>
        </w:rPr>
        <w:drawing>
          <wp:anchor distT="0" distB="0" distL="0" distR="0" simplePos="0" relativeHeight="251659264" behindDoc="1" locked="0" layoutInCell="1" hidden="0" allowOverlap="1" wp14:anchorId="26B2B342" wp14:editId="3093C4F7">
            <wp:simplePos x="0" y="0"/>
            <wp:positionH relativeFrom="column">
              <wp:posOffset>4972050</wp:posOffset>
            </wp:positionH>
            <wp:positionV relativeFrom="paragraph">
              <wp:posOffset>154288</wp:posOffset>
            </wp:positionV>
            <wp:extent cx="1134745" cy="897743"/>
            <wp:effectExtent l="0" t="0" r="0" b="0"/>
            <wp:wrapNone/>
            <wp:docPr id="7" name="image1.jpg" descr="A close-up of a speak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close-up of a speaker&#10;&#10;Description automatically generated with low confidence"/>
                    <pic:cNvPicPr preferRelativeResize="0"/>
                  </pic:nvPicPr>
                  <pic:blipFill>
                    <a:blip r:embed="rId9"/>
                    <a:srcRect t="9091" r="13242" b="-1"/>
                    <a:stretch>
                      <a:fillRect/>
                    </a:stretch>
                  </pic:blipFill>
                  <pic:spPr>
                    <a:xfrm>
                      <a:off x="0" y="0"/>
                      <a:ext cx="1134745" cy="897743"/>
                    </a:xfrm>
                    <a:prstGeom prst="rect">
                      <a:avLst/>
                    </a:prstGeom>
                    <a:ln/>
                  </pic:spPr>
                </pic:pic>
              </a:graphicData>
            </a:graphic>
          </wp:anchor>
        </w:drawing>
      </w:r>
    </w:p>
    <w:p w14:paraId="672F2D08" w14:textId="77777777" w:rsidR="00E025D4" w:rsidRDefault="00E025D4">
      <w:pPr>
        <w:pBdr>
          <w:top w:val="nil"/>
          <w:left w:val="nil"/>
          <w:bottom w:val="nil"/>
          <w:right w:val="nil"/>
          <w:between w:val="nil"/>
        </w:pBdr>
        <w:rPr>
          <w:rFonts w:cs="Arial"/>
          <w:b/>
          <w:color w:val="000000"/>
          <w:sz w:val="32"/>
          <w:szCs w:val="32"/>
        </w:rPr>
      </w:pPr>
    </w:p>
    <w:p w14:paraId="17DF7EED" w14:textId="367D6E54" w:rsidR="00E025D4" w:rsidRPr="002766EA" w:rsidRDefault="00453C57" w:rsidP="00453C57">
      <w:pPr>
        <w:rPr>
          <w:rFonts w:cs="Arial"/>
          <w:b/>
          <w:color w:val="000000"/>
          <w:sz w:val="40"/>
          <w:szCs w:val="40"/>
        </w:rPr>
      </w:pPr>
      <w:r>
        <w:rPr>
          <w:b/>
          <w:sz w:val="46"/>
          <w:szCs w:val="46"/>
        </w:rPr>
        <w:t xml:space="preserve">          </w:t>
      </w:r>
      <w:r w:rsidR="0008207A" w:rsidRPr="002766EA">
        <w:rPr>
          <w:b/>
          <w:sz w:val="40"/>
          <w:szCs w:val="40"/>
        </w:rPr>
        <w:t xml:space="preserve">Research Snapshot No. </w:t>
      </w:r>
      <w:r w:rsidR="00523B2E">
        <w:rPr>
          <w:b/>
          <w:sz w:val="40"/>
          <w:szCs w:val="40"/>
        </w:rPr>
        <w:t>10</w:t>
      </w:r>
    </w:p>
    <w:p w14:paraId="7414F69A" w14:textId="77777777" w:rsidR="00E025D4" w:rsidRDefault="00E025D4">
      <w:pPr>
        <w:pBdr>
          <w:top w:val="nil"/>
          <w:left w:val="nil"/>
          <w:bottom w:val="nil"/>
          <w:right w:val="nil"/>
          <w:between w:val="nil"/>
        </w:pBdr>
        <w:rPr>
          <w:rFonts w:cs="Arial"/>
          <w:b/>
          <w:color w:val="000000"/>
        </w:rPr>
      </w:pPr>
    </w:p>
    <w:p w14:paraId="26FC566E" w14:textId="527D36B0" w:rsidR="00BE7126" w:rsidRPr="009B1C28" w:rsidRDefault="00DE3CCF">
      <w:pPr>
        <w:pBdr>
          <w:top w:val="nil"/>
          <w:left w:val="nil"/>
          <w:bottom w:val="nil"/>
          <w:right w:val="nil"/>
          <w:between w:val="nil"/>
        </w:pBdr>
        <w:rPr>
          <w:rFonts w:cs="Arial"/>
          <w:b/>
          <w:color w:val="000000"/>
        </w:rPr>
      </w:pPr>
      <w:r>
        <w:rPr>
          <w:noProof/>
        </w:rPr>
        <mc:AlternateContent>
          <mc:Choice Requires="wps">
            <w:drawing>
              <wp:anchor distT="0" distB="0" distL="114300" distR="114300" simplePos="0" relativeHeight="251660288" behindDoc="0" locked="0" layoutInCell="1" hidden="0" allowOverlap="1" wp14:anchorId="2FF81757" wp14:editId="3AE1921A">
                <wp:simplePos x="0" y="0"/>
                <wp:positionH relativeFrom="column">
                  <wp:posOffset>4878070</wp:posOffset>
                </wp:positionH>
                <wp:positionV relativeFrom="paragraph">
                  <wp:posOffset>126365</wp:posOffset>
                </wp:positionV>
                <wp:extent cx="1447800" cy="283882"/>
                <wp:effectExtent l="0" t="0" r="0" b="0"/>
                <wp:wrapNone/>
                <wp:docPr id="5" name="Rectangle 5"/>
                <wp:cNvGraphicFramePr/>
                <a:graphic xmlns:a="http://schemas.openxmlformats.org/drawingml/2006/main">
                  <a:graphicData uri="http://schemas.microsoft.com/office/word/2010/wordprocessingShape">
                    <wps:wsp>
                      <wps:cNvSpPr/>
                      <wps:spPr>
                        <a:xfrm>
                          <a:off x="0" y="0"/>
                          <a:ext cx="1447800" cy="283882"/>
                        </a:xfrm>
                        <a:prstGeom prst="rect">
                          <a:avLst/>
                        </a:prstGeom>
                        <a:solidFill>
                          <a:schemeClr val="lt1"/>
                        </a:solidFill>
                        <a:ln w="9525" cap="flat" cmpd="sng">
                          <a:solidFill>
                            <a:srgbClr val="000000"/>
                          </a:solidFill>
                          <a:prstDash val="solid"/>
                          <a:round/>
                          <a:headEnd type="none" w="sm" len="sm"/>
                          <a:tailEnd type="none" w="sm" len="sm"/>
                        </a:ln>
                      </wps:spPr>
                      <wps:txbx>
                        <w:txbxContent>
                          <w:p w14:paraId="2A21952F" w14:textId="0754FA80" w:rsidR="00E025D4" w:rsidRDefault="00CE7E4B" w:rsidP="00453C57">
                            <w:pPr>
                              <w:jc w:val="center"/>
                              <w:textDirection w:val="btLr"/>
                            </w:pPr>
                            <w:r>
                              <w:rPr>
                                <w:rFonts w:cs="Arial"/>
                                <w:b/>
                                <w:color w:val="000000"/>
                              </w:rPr>
                              <w:t>October</w:t>
                            </w:r>
                            <w:r w:rsidR="006D4B50">
                              <w:rPr>
                                <w:rFonts w:cs="Arial"/>
                                <w:b/>
                                <w:color w:val="000000"/>
                              </w:rPr>
                              <w:t xml:space="preserve"> 2024</w:t>
                            </w:r>
                          </w:p>
                        </w:txbxContent>
                      </wps:txbx>
                      <wps:bodyPr spcFirstLastPara="1" wrap="square" lIns="91425" tIns="45700" rIns="91425" bIns="45700" anchor="t" anchorCtr="0">
                        <a:noAutofit/>
                      </wps:bodyPr>
                    </wps:wsp>
                  </a:graphicData>
                </a:graphic>
              </wp:anchor>
            </w:drawing>
          </mc:Choice>
          <mc:Fallback>
            <w:pict>
              <v:rect w14:anchorId="2FF81757" id="Rectangle 5" o:spid="_x0000_s1026" style="position:absolute;margin-left:384.1pt;margin-top:9.95pt;width:114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" fillcolor="white [3201]">
                <v:stroke startarrowwidth="narrow" startarrowlength="short" endarrowwidth="narrow" endarrowlength="short" joinstyle="round"/>
                <v:textbox inset="2.53958mm,1.2694mm,2.53958mm,1.2694mm">
                  <w:txbxContent>
                    <w:p w14:paraId="2A21952F" w14:textId="0754FA80" w:rsidR="00E025D4" w:rsidRDefault="00CE7E4B" w:rsidP="00453C57">
                      <w:pPr>
                        <w:jc w:val="center"/>
                        <w:textDirection w:val="btLr"/>
                      </w:pPr>
                      <w:r>
                        <w:rPr>
                          <w:rFonts w:cs="Arial"/>
                          <w:b/>
                          <w:color w:val="000000"/>
                        </w:rPr>
                        <w:t>October</w:t>
                      </w:r>
                      <w:r w:rsidR="006D4B50">
                        <w:rPr>
                          <w:rFonts w:cs="Arial"/>
                          <w:b/>
                          <w:color w:val="000000"/>
                        </w:rPr>
                        <w:t xml:space="preserve"> 2024</w:t>
                      </w:r>
                    </w:p>
                  </w:txbxContent>
                </v:textbox>
              </v:rect>
            </w:pict>
          </mc:Fallback>
        </mc:AlternateContent>
      </w:r>
      <w:r w:rsidR="0008207A">
        <w:rPr>
          <w:rFonts w:cs="Arial"/>
          <w:b/>
          <w:color w:val="000000"/>
        </w:rPr>
        <w:tab/>
      </w:r>
      <w:r w:rsidR="0008207A">
        <w:rPr>
          <w:rFonts w:cs="Arial"/>
          <w:b/>
          <w:color w:val="000000"/>
        </w:rPr>
        <w:tab/>
      </w:r>
      <w:r w:rsidR="0008207A">
        <w:rPr>
          <w:rFonts w:cs="Arial"/>
          <w:b/>
          <w:color w:val="000000"/>
        </w:rPr>
        <w:tab/>
      </w:r>
      <w:r w:rsidR="0008207A">
        <w:rPr>
          <w:rFonts w:cs="Arial"/>
          <w:b/>
          <w:color w:val="000000"/>
        </w:rPr>
        <w:tab/>
      </w:r>
      <w:r w:rsidR="0008207A">
        <w:rPr>
          <w:rFonts w:cs="Arial"/>
          <w:b/>
          <w:color w:val="000000"/>
        </w:rPr>
        <w:tab/>
      </w:r>
      <w:r w:rsidR="0008207A">
        <w:rPr>
          <w:rFonts w:cs="Arial"/>
          <w:b/>
          <w:color w:val="000000"/>
        </w:rPr>
        <w:tab/>
      </w:r>
      <w:r w:rsidR="0008207A">
        <w:rPr>
          <w:rFonts w:cs="Arial"/>
          <w:b/>
          <w:color w:val="000000"/>
        </w:rPr>
        <w:tab/>
      </w:r>
      <w:r w:rsidR="0008207A">
        <w:rPr>
          <w:rFonts w:cs="Arial"/>
          <w:b/>
          <w:color w:val="000000"/>
        </w:rPr>
        <w:tab/>
      </w:r>
      <w:r w:rsidR="0008207A">
        <w:rPr>
          <w:rFonts w:cs="Arial"/>
          <w:b/>
          <w:color w:val="000000"/>
        </w:rPr>
        <w:tab/>
      </w:r>
      <w:r w:rsidR="0008207A">
        <w:rPr>
          <w:rFonts w:cs="Arial"/>
          <w:b/>
          <w:color w:val="000000"/>
        </w:rPr>
        <w:tab/>
        <w:t xml:space="preserve">   </w:t>
      </w:r>
    </w:p>
    <w:p w14:paraId="38E1C7D7" w14:textId="77777777" w:rsidR="002766EA" w:rsidRDefault="002766EA">
      <w:pPr>
        <w:pBdr>
          <w:top w:val="nil"/>
          <w:left w:val="nil"/>
          <w:bottom w:val="nil"/>
          <w:right w:val="nil"/>
          <w:between w:val="nil"/>
        </w:pBdr>
        <w:rPr>
          <w:rFonts w:cs="Arial"/>
          <w:b/>
          <w:bCs/>
          <w:color w:val="000000"/>
        </w:rPr>
      </w:pPr>
    </w:p>
    <w:p w14:paraId="33EB9BBC" w14:textId="77777777" w:rsidR="003D114D" w:rsidRDefault="003D114D">
      <w:pPr>
        <w:pBdr>
          <w:top w:val="nil"/>
          <w:left w:val="nil"/>
          <w:bottom w:val="nil"/>
          <w:right w:val="nil"/>
          <w:between w:val="nil"/>
        </w:pBdr>
        <w:rPr>
          <w:rFonts w:cs="Arial"/>
          <w:b/>
          <w:bCs/>
          <w:color w:val="000000"/>
          <w:sz w:val="22"/>
          <w:szCs w:val="22"/>
        </w:rPr>
      </w:pPr>
    </w:p>
    <w:p w14:paraId="2212AC00" w14:textId="7D09B6A7" w:rsidR="00E025D4" w:rsidRPr="002C7FF9" w:rsidRDefault="003D114D">
      <w:pPr>
        <w:pBdr>
          <w:top w:val="nil"/>
          <w:left w:val="nil"/>
          <w:bottom w:val="nil"/>
          <w:right w:val="nil"/>
          <w:between w:val="nil"/>
        </w:pBdr>
        <w:rPr>
          <w:rFonts w:cs="Arial"/>
          <w:b/>
          <w:bCs/>
          <w:color w:val="000000"/>
          <w:sz w:val="28"/>
          <w:szCs w:val="28"/>
        </w:rPr>
      </w:pPr>
      <w:r w:rsidRPr="002C7FF9">
        <w:rPr>
          <w:rFonts w:cs="Arial"/>
          <w:b/>
          <w:bCs/>
          <w:color w:val="222222"/>
          <w:shd w:val="clear" w:color="auto" w:fill="FFFFFF"/>
        </w:rPr>
        <w:t>Meta-Synthesis of Qualitative Studies: Inclusion in the Early Childhood Years. </w:t>
      </w:r>
    </w:p>
    <w:p w14:paraId="415D449B" w14:textId="6848ADB7" w:rsidR="00E025D4" w:rsidRPr="002C7FF9" w:rsidRDefault="00850706">
      <w:pPr>
        <w:pBdr>
          <w:top w:val="nil"/>
          <w:left w:val="nil"/>
          <w:bottom w:val="nil"/>
          <w:right w:val="nil"/>
          <w:between w:val="nil"/>
        </w:pBdr>
        <w:rPr>
          <w:rFonts w:cs="Arial"/>
          <w:b/>
          <w:bCs/>
          <w:color w:val="222222"/>
          <w:shd w:val="clear" w:color="auto" w:fill="FFFFFF"/>
        </w:rPr>
      </w:pPr>
      <w:r w:rsidRPr="002C7FF9">
        <w:rPr>
          <w:rFonts w:cs="Arial"/>
          <w:b/>
          <w:bCs/>
          <w:color w:val="222222"/>
          <w:shd w:val="clear" w:color="auto" w:fill="FFFFFF"/>
        </w:rPr>
        <w:t>Hanline, M. F., Eldridge, J. N., &amp; Robbins</w:t>
      </w:r>
      <w:r w:rsidR="008C1A6C">
        <w:rPr>
          <w:rFonts w:cs="Arial"/>
          <w:b/>
          <w:bCs/>
          <w:color w:val="222222"/>
          <w:shd w:val="clear" w:color="auto" w:fill="FFFFFF"/>
        </w:rPr>
        <w:t>, A.</w:t>
      </w:r>
    </w:p>
    <w:p w14:paraId="6BC044D0" w14:textId="77777777" w:rsidR="00523B2E" w:rsidRPr="002829F4" w:rsidRDefault="00523B2E">
      <w:pPr>
        <w:pBdr>
          <w:top w:val="nil"/>
          <w:left w:val="nil"/>
          <w:bottom w:val="nil"/>
          <w:right w:val="nil"/>
          <w:between w:val="nil"/>
        </w:pBdr>
        <w:rPr>
          <w:rFonts w:cs="Arial"/>
          <w:b/>
          <w:bCs/>
          <w:color w:val="000000"/>
        </w:rPr>
      </w:pPr>
    </w:p>
    <w:p w14:paraId="3F94F6C2" w14:textId="77777777" w:rsidR="00BE7126" w:rsidRPr="002766EA" w:rsidRDefault="00BE7126">
      <w:pPr>
        <w:pBdr>
          <w:top w:val="nil"/>
          <w:left w:val="nil"/>
          <w:bottom w:val="nil"/>
          <w:right w:val="nil"/>
          <w:between w:val="nil"/>
        </w:pBdr>
        <w:rPr>
          <w:rFonts w:cs="Arial"/>
          <w:color w:val="000000"/>
          <w:sz w:val="22"/>
          <w:szCs w:val="22"/>
        </w:rPr>
      </w:pPr>
    </w:p>
    <w:p w14:paraId="321DC886" w14:textId="77777777" w:rsidR="00E025D4" w:rsidRPr="002766EA" w:rsidRDefault="0008207A">
      <w:pPr>
        <w:pBdr>
          <w:top w:val="nil"/>
          <w:left w:val="nil"/>
          <w:bottom w:val="nil"/>
          <w:right w:val="nil"/>
          <w:between w:val="nil"/>
        </w:pBdr>
        <w:rPr>
          <w:rFonts w:cs="Arial"/>
          <w:b/>
          <w:i/>
          <w:color w:val="000000"/>
          <w:sz w:val="22"/>
          <w:szCs w:val="22"/>
        </w:rPr>
      </w:pPr>
      <w:r w:rsidRPr="002766EA">
        <w:rPr>
          <w:rFonts w:cs="Arial"/>
          <w:b/>
          <w:i/>
          <w:color w:val="000000"/>
          <w:sz w:val="22"/>
          <w:szCs w:val="22"/>
        </w:rPr>
        <w:t>What you need to know</w:t>
      </w:r>
    </w:p>
    <w:p w14:paraId="62BDAC75" w14:textId="77777777" w:rsidR="002766EA" w:rsidRDefault="002766EA" w:rsidP="00320AB6">
      <w:pPr>
        <w:pBdr>
          <w:top w:val="nil"/>
          <w:left w:val="nil"/>
          <w:bottom w:val="nil"/>
          <w:right w:val="nil"/>
          <w:between w:val="nil"/>
        </w:pBdr>
        <w:rPr>
          <w:rFonts w:cs="Arial"/>
          <w:color w:val="000000"/>
          <w:sz w:val="22"/>
          <w:szCs w:val="22"/>
        </w:rPr>
      </w:pPr>
    </w:p>
    <w:p w14:paraId="56D33DEF" w14:textId="0BB52FBA" w:rsidR="00A13BC2" w:rsidRPr="009B1C28" w:rsidRDefault="00A425B5" w:rsidP="00320AB6">
      <w:pPr>
        <w:pBdr>
          <w:top w:val="nil"/>
          <w:left w:val="nil"/>
          <w:bottom w:val="nil"/>
          <w:right w:val="nil"/>
          <w:between w:val="nil"/>
        </w:pBdr>
        <w:rPr>
          <w:sz w:val="22"/>
          <w:szCs w:val="22"/>
        </w:rPr>
      </w:pPr>
      <w:r w:rsidRPr="009B1C28">
        <w:rPr>
          <w:sz w:val="22"/>
          <w:szCs w:val="22"/>
        </w:rPr>
        <w:t xml:space="preserve">Educating young children with and without disabilities together in inclusive early childhood programs is a critical component of </w:t>
      </w:r>
      <w:r w:rsidR="0047782E">
        <w:rPr>
          <w:sz w:val="22"/>
          <w:szCs w:val="22"/>
        </w:rPr>
        <w:t>e</w:t>
      </w:r>
      <w:r w:rsidR="009B1C28">
        <w:rPr>
          <w:sz w:val="22"/>
          <w:szCs w:val="22"/>
        </w:rPr>
        <w:t xml:space="preserve">arly childhood </w:t>
      </w:r>
      <w:r w:rsidRPr="009B1C28">
        <w:rPr>
          <w:sz w:val="22"/>
          <w:szCs w:val="22"/>
        </w:rPr>
        <w:t xml:space="preserve">education </w:t>
      </w:r>
      <w:r w:rsidR="00AF5F96">
        <w:rPr>
          <w:sz w:val="22"/>
          <w:szCs w:val="22"/>
        </w:rPr>
        <w:t xml:space="preserve">(ECE) </w:t>
      </w:r>
      <w:r w:rsidRPr="009B1C28">
        <w:rPr>
          <w:sz w:val="22"/>
          <w:szCs w:val="22"/>
        </w:rPr>
        <w:t xml:space="preserve">and </w:t>
      </w:r>
      <w:r w:rsidR="0047782E">
        <w:rPr>
          <w:sz w:val="22"/>
          <w:szCs w:val="22"/>
        </w:rPr>
        <w:t xml:space="preserve">early </w:t>
      </w:r>
      <w:r w:rsidRPr="009B1C28">
        <w:rPr>
          <w:sz w:val="22"/>
          <w:szCs w:val="22"/>
        </w:rPr>
        <w:t xml:space="preserve">intervention </w:t>
      </w:r>
      <w:r w:rsidR="00AF5F96">
        <w:rPr>
          <w:sz w:val="22"/>
          <w:szCs w:val="22"/>
        </w:rPr>
        <w:t>(EI)</w:t>
      </w:r>
      <w:r w:rsidR="00B945AF">
        <w:rPr>
          <w:sz w:val="22"/>
          <w:szCs w:val="22"/>
        </w:rPr>
        <w:t xml:space="preserve"> </w:t>
      </w:r>
      <w:r w:rsidRPr="009B1C28">
        <w:rPr>
          <w:sz w:val="22"/>
          <w:szCs w:val="22"/>
        </w:rPr>
        <w:t>services</w:t>
      </w:r>
      <w:r w:rsidR="0047782E">
        <w:rPr>
          <w:sz w:val="22"/>
          <w:szCs w:val="22"/>
        </w:rPr>
        <w:t>.</w:t>
      </w:r>
    </w:p>
    <w:p w14:paraId="5B43EC47" w14:textId="77777777" w:rsidR="00A13BC2" w:rsidRPr="009B1C28" w:rsidRDefault="00A13BC2" w:rsidP="00320AB6">
      <w:pPr>
        <w:pBdr>
          <w:top w:val="nil"/>
          <w:left w:val="nil"/>
          <w:bottom w:val="nil"/>
          <w:right w:val="nil"/>
          <w:between w:val="nil"/>
        </w:pBdr>
        <w:rPr>
          <w:sz w:val="22"/>
          <w:szCs w:val="22"/>
        </w:rPr>
      </w:pPr>
    </w:p>
    <w:p w14:paraId="4089AC14" w14:textId="0CD90BCC" w:rsidR="00AF5F96" w:rsidRPr="009B1C28" w:rsidRDefault="00A425B5" w:rsidP="00320AB6">
      <w:pPr>
        <w:pBdr>
          <w:top w:val="nil"/>
          <w:left w:val="nil"/>
          <w:bottom w:val="nil"/>
          <w:right w:val="nil"/>
          <w:between w:val="nil"/>
        </w:pBdr>
        <w:rPr>
          <w:sz w:val="22"/>
          <w:szCs w:val="22"/>
        </w:rPr>
      </w:pPr>
      <w:r w:rsidRPr="009B1C28">
        <w:rPr>
          <w:sz w:val="22"/>
          <w:szCs w:val="22"/>
        </w:rPr>
        <w:t>With potential benefits to all children, the importance of inclusion has been recogni</w:t>
      </w:r>
      <w:r w:rsidR="000A313B">
        <w:rPr>
          <w:sz w:val="22"/>
          <w:szCs w:val="22"/>
        </w:rPr>
        <w:t>s</w:t>
      </w:r>
      <w:r w:rsidRPr="009B1C28">
        <w:rPr>
          <w:sz w:val="22"/>
          <w:szCs w:val="22"/>
        </w:rPr>
        <w:t xml:space="preserve">ed by </w:t>
      </w:r>
      <w:r w:rsidR="00B9185C">
        <w:rPr>
          <w:sz w:val="22"/>
          <w:szCs w:val="22"/>
        </w:rPr>
        <w:t>government departments and professional organisations. For example,</w:t>
      </w:r>
      <w:r w:rsidR="00386A0A">
        <w:rPr>
          <w:sz w:val="22"/>
          <w:szCs w:val="22"/>
        </w:rPr>
        <w:t xml:space="preserve"> </w:t>
      </w:r>
      <w:r w:rsidR="00C02440" w:rsidRPr="009B1C28">
        <w:rPr>
          <w:sz w:val="22"/>
          <w:szCs w:val="22"/>
        </w:rPr>
        <w:t>a joint position statement</w:t>
      </w:r>
      <w:r w:rsidR="00386A0A">
        <w:rPr>
          <w:sz w:val="22"/>
          <w:szCs w:val="22"/>
        </w:rPr>
        <w:t xml:space="preserve"> in the USA</w:t>
      </w:r>
      <w:r w:rsidR="00AF5F96">
        <w:rPr>
          <w:sz w:val="22"/>
          <w:szCs w:val="22"/>
        </w:rPr>
        <w:t xml:space="preserve"> between</w:t>
      </w:r>
      <w:r w:rsidR="00C02440" w:rsidRPr="009B1C28">
        <w:rPr>
          <w:sz w:val="22"/>
          <w:szCs w:val="22"/>
        </w:rPr>
        <w:t>, the Division of Early Childhood (DEC) of the Council for Exceptional Children (CEC) and the National Association for the Education of Young Children (NAEYC), identified as desired outcomes that all children and their families have “a sense of belonging and membership, positive social relationships and friendships, and development and learning to reach their full potential” (DEC/NAEYC, 2009, p.2).</w:t>
      </w:r>
    </w:p>
    <w:p w14:paraId="156C223B" w14:textId="77777777" w:rsidR="00663ACB" w:rsidRPr="009B1C28" w:rsidRDefault="00663ACB" w:rsidP="00320AB6">
      <w:pPr>
        <w:pBdr>
          <w:top w:val="nil"/>
          <w:left w:val="nil"/>
          <w:bottom w:val="nil"/>
          <w:right w:val="nil"/>
          <w:between w:val="nil"/>
        </w:pBdr>
        <w:rPr>
          <w:sz w:val="22"/>
          <w:szCs w:val="22"/>
        </w:rPr>
      </w:pPr>
    </w:p>
    <w:p w14:paraId="2DAFC014" w14:textId="7F1ADEA9" w:rsidR="00663ACB" w:rsidRDefault="00663ACB" w:rsidP="00320AB6">
      <w:pPr>
        <w:pBdr>
          <w:top w:val="nil"/>
          <w:left w:val="nil"/>
          <w:bottom w:val="nil"/>
          <w:right w:val="nil"/>
          <w:between w:val="nil"/>
        </w:pBdr>
        <w:rPr>
          <w:sz w:val="22"/>
          <w:szCs w:val="22"/>
        </w:rPr>
      </w:pPr>
      <w:r w:rsidRPr="009B1C28">
        <w:rPr>
          <w:sz w:val="22"/>
          <w:szCs w:val="22"/>
        </w:rPr>
        <w:t xml:space="preserve">Reported outcomes </w:t>
      </w:r>
      <w:r w:rsidR="00AF5F96">
        <w:rPr>
          <w:sz w:val="22"/>
          <w:szCs w:val="22"/>
        </w:rPr>
        <w:t xml:space="preserve">of inclusive EC and EI </w:t>
      </w:r>
      <w:r w:rsidRPr="009B1C28">
        <w:rPr>
          <w:sz w:val="22"/>
          <w:szCs w:val="22"/>
        </w:rPr>
        <w:t>include expanded opportunities for friendship development and chances for children without disabilities to develop empathy, compassion, and a greater understanding of disability</w:t>
      </w:r>
      <w:r w:rsidR="00010DB5" w:rsidRPr="009B1C28">
        <w:rPr>
          <w:sz w:val="22"/>
          <w:szCs w:val="22"/>
        </w:rPr>
        <w:t>. Furthermore, c</w:t>
      </w:r>
      <w:r w:rsidRPr="009B1C28">
        <w:rPr>
          <w:sz w:val="22"/>
          <w:szCs w:val="22"/>
        </w:rPr>
        <w:t xml:space="preserve">hildren with and without disabilities </w:t>
      </w:r>
      <w:r w:rsidR="00C728E5" w:rsidRPr="009B1C28">
        <w:rPr>
          <w:sz w:val="22"/>
          <w:szCs w:val="22"/>
        </w:rPr>
        <w:t xml:space="preserve">are reported to </w:t>
      </w:r>
      <w:r w:rsidRPr="009B1C28">
        <w:rPr>
          <w:sz w:val="22"/>
          <w:szCs w:val="22"/>
        </w:rPr>
        <w:t xml:space="preserve">make expected developmental progress in inclusive EC settings. </w:t>
      </w:r>
    </w:p>
    <w:p w14:paraId="0054D2FB" w14:textId="77777777" w:rsidR="005A7DC6" w:rsidRDefault="005A7DC6" w:rsidP="00320AB6">
      <w:pPr>
        <w:pBdr>
          <w:top w:val="nil"/>
          <w:left w:val="nil"/>
          <w:bottom w:val="nil"/>
          <w:right w:val="nil"/>
          <w:between w:val="nil"/>
        </w:pBdr>
        <w:rPr>
          <w:sz w:val="22"/>
          <w:szCs w:val="22"/>
        </w:rPr>
      </w:pPr>
    </w:p>
    <w:p w14:paraId="23E236E7" w14:textId="77777777" w:rsidR="00183094" w:rsidRPr="002766EA" w:rsidRDefault="00183094">
      <w:pPr>
        <w:pBdr>
          <w:top w:val="nil"/>
          <w:left w:val="nil"/>
          <w:bottom w:val="nil"/>
          <w:right w:val="nil"/>
          <w:between w:val="nil"/>
        </w:pBdr>
        <w:rPr>
          <w:rFonts w:cs="Arial"/>
          <w:color w:val="000000"/>
          <w:sz w:val="22"/>
          <w:szCs w:val="22"/>
        </w:rPr>
      </w:pPr>
    </w:p>
    <w:p w14:paraId="6E8034BA" w14:textId="13544C09" w:rsidR="00E025D4" w:rsidRPr="002766EA" w:rsidRDefault="0008207A">
      <w:pPr>
        <w:pBdr>
          <w:top w:val="nil"/>
          <w:left w:val="nil"/>
          <w:bottom w:val="nil"/>
          <w:right w:val="nil"/>
          <w:between w:val="nil"/>
        </w:pBdr>
        <w:rPr>
          <w:rFonts w:cs="Arial"/>
          <w:b/>
          <w:i/>
          <w:color w:val="000000"/>
          <w:sz w:val="22"/>
          <w:szCs w:val="22"/>
        </w:rPr>
      </w:pPr>
      <w:r w:rsidRPr="002766EA">
        <w:rPr>
          <w:rFonts w:cs="Arial"/>
          <w:b/>
          <w:i/>
          <w:color w:val="000000"/>
          <w:sz w:val="22"/>
          <w:szCs w:val="22"/>
        </w:rPr>
        <w:t xml:space="preserve">What is this </w:t>
      </w:r>
      <w:r w:rsidR="00756B5B">
        <w:rPr>
          <w:rFonts w:cs="Arial"/>
          <w:b/>
          <w:i/>
          <w:color w:val="000000"/>
          <w:sz w:val="22"/>
          <w:szCs w:val="22"/>
        </w:rPr>
        <w:t>research</w:t>
      </w:r>
      <w:r w:rsidRPr="002766EA">
        <w:rPr>
          <w:rFonts w:cs="Arial"/>
          <w:b/>
          <w:i/>
          <w:color w:val="000000"/>
          <w:sz w:val="22"/>
          <w:szCs w:val="22"/>
        </w:rPr>
        <w:t xml:space="preserve"> about? </w:t>
      </w:r>
    </w:p>
    <w:p w14:paraId="2A0612F9" w14:textId="77777777" w:rsidR="004B34B8" w:rsidRPr="002766EA" w:rsidRDefault="004B34B8">
      <w:pPr>
        <w:pBdr>
          <w:top w:val="nil"/>
          <w:left w:val="nil"/>
          <w:bottom w:val="nil"/>
          <w:right w:val="nil"/>
          <w:between w:val="nil"/>
        </w:pBdr>
        <w:rPr>
          <w:rFonts w:cs="Arial"/>
          <w:color w:val="000000"/>
          <w:sz w:val="22"/>
          <w:szCs w:val="22"/>
        </w:rPr>
      </w:pPr>
    </w:p>
    <w:p w14:paraId="6AB9D7DF" w14:textId="77777777" w:rsidR="003F21F1" w:rsidRDefault="00756B5B" w:rsidP="006E5387">
      <w:pPr>
        <w:pBdr>
          <w:top w:val="nil"/>
          <w:left w:val="nil"/>
          <w:bottom w:val="nil"/>
          <w:right w:val="nil"/>
          <w:between w:val="nil"/>
        </w:pBdr>
        <w:rPr>
          <w:sz w:val="22"/>
          <w:szCs w:val="22"/>
        </w:rPr>
      </w:pPr>
      <w:r>
        <w:rPr>
          <w:sz w:val="22"/>
          <w:szCs w:val="22"/>
        </w:rPr>
        <w:t>T</w:t>
      </w:r>
      <w:r w:rsidRPr="00756B5B">
        <w:rPr>
          <w:sz w:val="22"/>
          <w:szCs w:val="22"/>
        </w:rPr>
        <w:t>his meta-synthesis integrate</w:t>
      </w:r>
      <w:r>
        <w:rPr>
          <w:sz w:val="22"/>
          <w:szCs w:val="22"/>
        </w:rPr>
        <w:t>s</w:t>
      </w:r>
      <w:r w:rsidRPr="00756B5B">
        <w:rPr>
          <w:sz w:val="22"/>
          <w:szCs w:val="22"/>
        </w:rPr>
        <w:t xml:space="preserve"> findings from qualitative research studying the experiences and outcomes of children when they participate in inclusive </w:t>
      </w:r>
      <w:r w:rsidR="00695C07">
        <w:rPr>
          <w:sz w:val="22"/>
          <w:szCs w:val="22"/>
        </w:rPr>
        <w:t>EC settings.</w:t>
      </w:r>
      <w:r w:rsidRPr="00756B5B">
        <w:rPr>
          <w:sz w:val="22"/>
          <w:szCs w:val="22"/>
        </w:rPr>
        <w:t xml:space="preserve"> The goal was to promote a broader understanding of practices and outcomes in inclusive EC programs</w:t>
      </w:r>
      <w:r w:rsidR="006E5387">
        <w:rPr>
          <w:sz w:val="22"/>
          <w:szCs w:val="22"/>
        </w:rPr>
        <w:t>.</w:t>
      </w:r>
    </w:p>
    <w:p w14:paraId="46A40739" w14:textId="77777777" w:rsidR="003F21F1" w:rsidRDefault="003F21F1" w:rsidP="006E5387">
      <w:pPr>
        <w:pBdr>
          <w:top w:val="nil"/>
          <w:left w:val="nil"/>
          <w:bottom w:val="nil"/>
          <w:right w:val="nil"/>
          <w:between w:val="nil"/>
        </w:pBdr>
        <w:rPr>
          <w:sz w:val="22"/>
          <w:szCs w:val="22"/>
        </w:rPr>
      </w:pPr>
    </w:p>
    <w:p w14:paraId="2BD7ECD6" w14:textId="27CA849D" w:rsidR="006E5387" w:rsidRDefault="006E5387" w:rsidP="006E5387">
      <w:pPr>
        <w:pBdr>
          <w:top w:val="nil"/>
          <w:left w:val="nil"/>
          <w:bottom w:val="nil"/>
          <w:right w:val="nil"/>
          <w:between w:val="nil"/>
        </w:pBdr>
        <w:rPr>
          <w:rFonts w:cs="Arial"/>
          <w:color w:val="000000"/>
          <w:sz w:val="22"/>
          <w:szCs w:val="22"/>
        </w:rPr>
      </w:pPr>
      <w:r w:rsidRPr="003F21F1">
        <w:rPr>
          <w:rFonts w:cs="Arial"/>
          <w:color w:val="000000"/>
          <w:sz w:val="22"/>
          <w:szCs w:val="22"/>
        </w:rPr>
        <w:t xml:space="preserve">A meta-synthesis </w:t>
      </w:r>
      <w:r w:rsidR="001A4EEF">
        <w:rPr>
          <w:rFonts w:cs="Arial"/>
          <w:color w:val="000000"/>
          <w:sz w:val="22"/>
          <w:szCs w:val="22"/>
        </w:rPr>
        <w:t xml:space="preserve">was chosen as it </w:t>
      </w:r>
      <w:r w:rsidRPr="003F21F1">
        <w:rPr>
          <w:rFonts w:cs="Arial"/>
          <w:color w:val="000000"/>
          <w:sz w:val="22"/>
          <w:szCs w:val="22"/>
        </w:rPr>
        <w:t>may provide deeper insights than a single study, adding depth and</w:t>
      </w:r>
      <w:r w:rsidR="003F21F1" w:rsidRPr="003F21F1">
        <w:t xml:space="preserve"> </w:t>
      </w:r>
      <w:r w:rsidRPr="003F21F1">
        <w:rPr>
          <w:rFonts w:cs="Arial"/>
          <w:color w:val="000000"/>
          <w:sz w:val="22"/>
          <w:szCs w:val="22"/>
        </w:rPr>
        <w:t xml:space="preserve">dimension to the understanding of educational practices </w:t>
      </w:r>
      <w:r w:rsidR="003F21F1">
        <w:rPr>
          <w:rFonts w:cs="Arial"/>
          <w:color w:val="000000"/>
          <w:sz w:val="22"/>
          <w:szCs w:val="22"/>
        </w:rPr>
        <w:t xml:space="preserve">and </w:t>
      </w:r>
      <w:r w:rsidRPr="003F21F1">
        <w:rPr>
          <w:rFonts w:cs="Arial"/>
          <w:color w:val="000000"/>
          <w:sz w:val="22"/>
          <w:szCs w:val="22"/>
        </w:rPr>
        <w:t>has the potential to identify gaps</w:t>
      </w:r>
      <w:r w:rsidR="003F21F1">
        <w:rPr>
          <w:rFonts w:cs="Arial"/>
          <w:color w:val="000000"/>
          <w:sz w:val="22"/>
          <w:szCs w:val="22"/>
        </w:rPr>
        <w:t xml:space="preserve"> </w:t>
      </w:r>
      <w:r w:rsidRPr="003F21F1">
        <w:rPr>
          <w:rFonts w:cs="Arial"/>
          <w:color w:val="000000"/>
          <w:sz w:val="22"/>
          <w:szCs w:val="22"/>
        </w:rPr>
        <w:t>in a body of research</w:t>
      </w:r>
      <w:r w:rsidR="003F21F1">
        <w:rPr>
          <w:rFonts w:cs="Arial"/>
          <w:color w:val="000000"/>
          <w:sz w:val="22"/>
          <w:szCs w:val="22"/>
        </w:rPr>
        <w:t>.</w:t>
      </w:r>
    </w:p>
    <w:p w14:paraId="19BF8A38" w14:textId="77777777" w:rsidR="005A7DC6" w:rsidRPr="003F21F1" w:rsidRDefault="005A7DC6" w:rsidP="006E5387">
      <w:pPr>
        <w:pBdr>
          <w:top w:val="nil"/>
          <w:left w:val="nil"/>
          <w:bottom w:val="nil"/>
          <w:right w:val="nil"/>
          <w:between w:val="nil"/>
        </w:pBdr>
        <w:rPr>
          <w:rFonts w:cs="Arial"/>
          <w:color w:val="000000"/>
          <w:sz w:val="22"/>
          <w:szCs w:val="22"/>
        </w:rPr>
      </w:pPr>
    </w:p>
    <w:p w14:paraId="4135EFCE" w14:textId="3973DA9F" w:rsidR="006C0CBF" w:rsidRDefault="005A7DC6" w:rsidP="009F6199">
      <w:pPr>
        <w:pBdr>
          <w:top w:val="nil"/>
          <w:left w:val="nil"/>
          <w:bottom w:val="nil"/>
          <w:right w:val="nil"/>
          <w:between w:val="nil"/>
        </w:pBdr>
        <w:rPr>
          <w:rFonts w:cs="Arial"/>
          <w:color w:val="000000"/>
          <w:sz w:val="22"/>
          <w:szCs w:val="22"/>
        </w:rPr>
      </w:pPr>
      <w:r w:rsidRPr="005A7DC6">
        <w:rPr>
          <w:rFonts w:cs="Arial"/>
          <w:color w:val="000000"/>
          <w:sz w:val="22"/>
          <w:szCs w:val="22"/>
        </w:rPr>
        <w:t>To the knowledge of the authors, no meta-synthesis of EC inclusion has previously been conducted.</w:t>
      </w:r>
    </w:p>
    <w:p w14:paraId="2B98500F" w14:textId="77777777" w:rsidR="007F3D5A" w:rsidRDefault="007F3D5A" w:rsidP="009F6199">
      <w:pPr>
        <w:pBdr>
          <w:top w:val="nil"/>
          <w:left w:val="nil"/>
          <w:bottom w:val="nil"/>
          <w:right w:val="nil"/>
          <w:between w:val="nil"/>
        </w:pBdr>
        <w:rPr>
          <w:rFonts w:cs="Arial"/>
          <w:color w:val="000000"/>
          <w:sz w:val="22"/>
          <w:szCs w:val="22"/>
        </w:rPr>
      </w:pPr>
    </w:p>
    <w:p w14:paraId="18C4BCFE" w14:textId="77777777" w:rsidR="007F3D5A" w:rsidRPr="00D2720D" w:rsidRDefault="007F3D5A" w:rsidP="007F3D5A">
      <w:pPr>
        <w:pBdr>
          <w:top w:val="nil"/>
          <w:left w:val="nil"/>
          <w:bottom w:val="nil"/>
          <w:right w:val="nil"/>
          <w:between w:val="nil"/>
        </w:pBdr>
        <w:rPr>
          <w:rFonts w:cs="Arial"/>
          <w:color w:val="000000"/>
          <w:sz w:val="22"/>
          <w:szCs w:val="22"/>
        </w:rPr>
      </w:pPr>
      <w:r w:rsidRPr="00D2720D">
        <w:rPr>
          <w:rFonts w:cs="Arial"/>
          <w:color w:val="000000"/>
          <w:sz w:val="22"/>
          <w:szCs w:val="22"/>
        </w:rPr>
        <w:t>The researchers</w:t>
      </w:r>
      <w:r w:rsidRPr="00D2720D">
        <w:t xml:space="preserve"> </w:t>
      </w:r>
      <w:r>
        <w:t xml:space="preserve">sought to answer three </w:t>
      </w:r>
      <w:r w:rsidRPr="00D2720D">
        <w:rPr>
          <w:rFonts w:cs="Arial"/>
          <w:color w:val="000000"/>
          <w:sz w:val="22"/>
          <w:szCs w:val="22"/>
        </w:rPr>
        <w:t>research questions:</w:t>
      </w:r>
    </w:p>
    <w:p w14:paraId="4E9322DB" w14:textId="77777777" w:rsidR="007F3D5A" w:rsidRPr="00D2720D" w:rsidRDefault="007F3D5A" w:rsidP="007F3D5A">
      <w:pPr>
        <w:pStyle w:val="ListParagraph"/>
        <w:numPr>
          <w:ilvl w:val="0"/>
          <w:numId w:val="11"/>
        </w:numPr>
        <w:pBdr>
          <w:top w:val="nil"/>
          <w:left w:val="nil"/>
          <w:bottom w:val="nil"/>
          <w:right w:val="nil"/>
          <w:between w:val="nil"/>
        </w:pBdr>
        <w:rPr>
          <w:rFonts w:cs="Arial"/>
          <w:color w:val="000000"/>
          <w:sz w:val="22"/>
          <w:szCs w:val="22"/>
        </w:rPr>
      </w:pPr>
      <w:r w:rsidRPr="00D2720D">
        <w:rPr>
          <w:rFonts w:cs="Arial"/>
          <w:color w:val="000000"/>
          <w:sz w:val="22"/>
          <w:szCs w:val="22"/>
        </w:rPr>
        <w:lastRenderedPageBreak/>
        <w:t>How do the qualitative studies ensure methodological rigor by using methods to establish trustworthiness and procedures identified as quality indicators for the methods</w:t>
      </w:r>
      <w:r>
        <w:rPr>
          <w:rFonts w:cs="Arial"/>
          <w:color w:val="000000"/>
          <w:sz w:val="22"/>
          <w:szCs w:val="22"/>
        </w:rPr>
        <w:t xml:space="preserve"> </w:t>
      </w:r>
      <w:r w:rsidRPr="00D2720D">
        <w:rPr>
          <w:rFonts w:cs="Arial"/>
          <w:color w:val="000000"/>
          <w:sz w:val="22"/>
          <w:szCs w:val="22"/>
        </w:rPr>
        <w:t>used to collect data?</w:t>
      </w:r>
    </w:p>
    <w:p w14:paraId="7DAD0971" w14:textId="77777777" w:rsidR="007F3D5A" w:rsidRPr="00D2720D" w:rsidRDefault="007F3D5A" w:rsidP="007F3D5A">
      <w:pPr>
        <w:pStyle w:val="ListParagraph"/>
        <w:numPr>
          <w:ilvl w:val="0"/>
          <w:numId w:val="11"/>
        </w:numPr>
        <w:pBdr>
          <w:top w:val="nil"/>
          <w:left w:val="nil"/>
          <w:bottom w:val="nil"/>
          <w:right w:val="nil"/>
          <w:between w:val="nil"/>
        </w:pBdr>
        <w:rPr>
          <w:rFonts w:cs="Arial"/>
          <w:color w:val="000000"/>
          <w:sz w:val="22"/>
          <w:szCs w:val="22"/>
        </w:rPr>
      </w:pPr>
      <w:r w:rsidRPr="00D2720D">
        <w:rPr>
          <w:rFonts w:cs="Arial"/>
          <w:color w:val="000000"/>
          <w:sz w:val="22"/>
          <w:szCs w:val="22"/>
        </w:rPr>
        <w:t>What are the social experiences and outcomes of young students with disabilities and their peers (birth to 8 years of age) who are developing typically when they participate together in general education EC private and public-school settings in the United States?</w:t>
      </w:r>
    </w:p>
    <w:p w14:paraId="725024BD" w14:textId="77777777" w:rsidR="007F3D5A" w:rsidRPr="00D2720D" w:rsidRDefault="007F3D5A" w:rsidP="007F3D5A">
      <w:pPr>
        <w:pStyle w:val="ListParagraph"/>
        <w:numPr>
          <w:ilvl w:val="0"/>
          <w:numId w:val="11"/>
        </w:numPr>
        <w:pBdr>
          <w:top w:val="nil"/>
          <w:left w:val="nil"/>
          <w:bottom w:val="nil"/>
          <w:right w:val="nil"/>
          <w:between w:val="nil"/>
        </w:pBdr>
        <w:rPr>
          <w:rFonts w:cs="Arial"/>
          <w:color w:val="000000"/>
          <w:sz w:val="22"/>
          <w:szCs w:val="22"/>
        </w:rPr>
      </w:pPr>
      <w:r w:rsidRPr="00D2720D">
        <w:rPr>
          <w:rFonts w:cs="Arial"/>
          <w:color w:val="000000"/>
          <w:sz w:val="22"/>
          <w:szCs w:val="22"/>
        </w:rPr>
        <w:t>What are the learning experiences and outcomes of young students with disabilities and their peers (birth to 8 years of age) who are developing typically when they participate together in general education EC private and public-school settings in the United States?</w:t>
      </w:r>
    </w:p>
    <w:p w14:paraId="061CC52B" w14:textId="77777777" w:rsidR="007F3D5A" w:rsidRDefault="007F3D5A" w:rsidP="009F6199">
      <w:pPr>
        <w:pBdr>
          <w:top w:val="nil"/>
          <w:left w:val="nil"/>
          <w:bottom w:val="nil"/>
          <w:right w:val="nil"/>
          <w:between w:val="nil"/>
        </w:pBdr>
        <w:rPr>
          <w:rFonts w:cs="Arial"/>
          <w:color w:val="000000"/>
          <w:sz w:val="22"/>
          <w:szCs w:val="22"/>
        </w:rPr>
      </w:pPr>
    </w:p>
    <w:p w14:paraId="5082BF75" w14:textId="77777777" w:rsidR="00787D6F" w:rsidRPr="00787D6F" w:rsidRDefault="00787D6F" w:rsidP="00787D6F">
      <w:pPr>
        <w:pBdr>
          <w:top w:val="nil"/>
          <w:left w:val="nil"/>
          <w:bottom w:val="nil"/>
          <w:right w:val="nil"/>
          <w:between w:val="nil"/>
        </w:pBdr>
        <w:rPr>
          <w:rFonts w:cs="Arial"/>
          <w:color w:val="000000"/>
          <w:sz w:val="22"/>
          <w:szCs w:val="22"/>
        </w:rPr>
      </w:pPr>
      <w:r w:rsidRPr="00787D6F">
        <w:rPr>
          <w:rFonts w:cs="Arial"/>
          <w:color w:val="000000"/>
          <w:sz w:val="22"/>
          <w:szCs w:val="22"/>
        </w:rPr>
        <w:t>The goal was to promote a broader understanding of practices and outcomes in</w:t>
      </w:r>
    </w:p>
    <w:p w14:paraId="33F89E03" w14:textId="42F7CAE3" w:rsidR="005A7DC6" w:rsidRDefault="00787D6F" w:rsidP="00787D6F">
      <w:pPr>
        <w:pBdr>
          <w:top w:val="nil"/>
          <w:left w:val="nil"/>
          <w:bottom w:val="nil"/>
          <w:right w:val="nil"/>
          <w:between w:val="nil"/>
        </w:pBdr>
        <w:rPr>
          <w:rFonts w:cs="Arial"/>
          <w:color w:val="000000"/>
          <w:sz w:val="22"/>
          <w:szCs w:val="22"/>
        </w:rPr>
      </w:pPr>
      <w:r w:rsidRPr="00787D6F">
        <w:rPr>
          <w:rFonts w:cs="Arial"/>
          <w:color w:val="000000"/>
          <w:sz w:val="22"/>
          <w:szCs w:val="22"/>
        </w:rPr>
        <w:t>inclusive EC programs.</w:t>
      </w:r>
    </w:p>
    <w:p w14:paraId="7E8114D8" w14:textId="77777777" w:rsidR="00787D6F" w:rsidRDefault="00787D6F" w:rsidP="00787D6F">
      <w:pPr>
        <w:pBdr>
          <w:top w:val="nil"/>
          <w:left w:val="nil"/>
          <w:bottom w:val="nil"/>
          <w:right w:val="nil"/>
          <w:between w:val="nil"/>
        </w:pBdr>
        <w:rPr>
          <w:rFonts w:cs="Arial"/>
          <w:color w:val="000000"/>
          <w:sz w:val="22"/>
          <w:szCs w:val="22"/>
        </w:rPr>
      </w:pPr>
    </w:p>
    <w:p w14:paraId="5DA7C84C" w14:textId="14388A48" w:rsidR="008A006A" w:rsidRDefault="008A006A" w:rsidP="009F6199">
      <w:pPr>
        <w:pBdr>
          <w:top w:val="nil"/>
          <w:left w:val="nil"/>
          <w:bottom w:val="nil"/>
          <w:right w:val="nil"/>
          <w:between w:val="nil"/>
        </w:pBdr>
        <w:rPr>
          <w:rFonts w:cs="Arial"/>
          <w:b/>
          <w:bCs/>
          <w:i/>
          <w:iCs/>
          <w:color w:val="000000"/>
          <w:sz w:val="22"/>
          <w:szCs w:val="22"/>
        </w:rPr>
      </w:pPr>
      <w:r w:rsidRPr="008A006A">
        <w:rPr>
          <w:rFonts w:cs="Arial"/>
          <w:b/>
          <w:bCs/>
          <w:i/>
          <w:iCs/>
          <w:color w:val="000000"/>
          <w:sz w:val="22"/>
          <w:szCs w:val="22"/>
        </w:rPr>
        <w:t>What did the researchers do?</w:t>
      </w:r>
    </w:p>
    <w:p w14:paraId="11827D33" w14:textId="77777777" w:rsidR="008A006A" w:rsidRDefault="008A006A" w:rsidP="009F6199">
      <w:pPr>
        <w:pBdr>
          <w:top w:val="nil"/>
          <w:left w:val="nil"/>
          <w:bottom w:val="nil"/>
          <w:right w:val="nil"/>
          <w:between w:val="nil"/>
        </w:pBdr>
        <w:rPr>
          <w:rFonts w:cs="Arial"/>
          <w:b/>
          <w:bCs/>
          <w:i/>
          <w:iCs/>
          <w:color w:val="000000"/>
          <w:sz w:val="22"/>
          <w:szCs w:val="22"/>
        </w:rPr>
      </w:pPr>
    </w:p>
    <w:p w14:paraId="0F661F0E" w14:textId="6BA1A1BB" w:rsidR="00796A05" w:rsidRDefault="00796A05" w:rsidP="00796A05">
      <w:pPr>
        <w:pBdr>
          <w:top w:val="nil"/>
          <w:left w:val="nil"/>
          <w:bottom w:val="nil"/>
          <w:right w:val="nil"/>
          <w:between w:val="nil"/>
        </w:pBdr>
        <w:rPr>
          <w:rFonts w:cs="Arial"/>
          <w:color w:val="000000"/>
          <w:sz w:val="22"/>
          <w:szCs w:val="22"/>
        </w:rPr>
      </w:pPr>
      <w:r w:rsidRPr="00796A05">
        <w:rPr>
          <w:rFonts w:cs="Arial"/>
          <w:color w:val="000000"/>
          <w:sz w:val="22"/>
          <w:szCs w:val="22"/>
        </w:rPr>
        <w:t>T</w:t>
      </w:r>
      <w:r>
        <w:rPr>
          <w:rFonts w:cs="Arial"/>
          <w:color w:val="000000"/>
          <w:sz w:val="22"/>
          <w:szCs w:val="22"/>
        </w:rPr>
        <w:t>he researchers used t</w:t>
      </w:r>
      <w:r w:rsidRPr="00796A05">
        <w:rPr>
          <w:rFonts w:cs="Arial"/>
          <w:color w:val="000000"/>
          <w:sz w:val="22"/>
          <w:szCs w:val="22"/>
        </w:rPr>
        <w:t>hematic synthesis aims, through systematic</w:t>
      </w:r>
      <w:r>
        <w:rPr>
          <w:rFonts w:cs="Arial"/>
          <w:color w:val="000000"/>
          <w:sz w:val="22"/>
          <w:szCs w:val="22"/>
        </w:rPr>
        <w:t xml:space="preserve"> </w:t>
      </w:r>
      <w:r w:rsidRPr="00796A05">
        <w:rPr>
          <w:rFonts w:cs="Arial"/>
          <w:color w:val="000000"/>
          <w:sz w:val="22"/>
          <w:szCs w:val="22"/>
        </w:rPr>
        <w:t>coding of data to generate analytical themes</w:t>
      </w:r>
      <w:r w:rsidR="004D3745">
        <w:rPr>
          <w:rFonts w:cs="Arial"/>
          <w:color w:val="000000"/>
          <w:sz w:val="22"/>
          <w:szCs w:val="22"/>
        </w:rPr>
        <w:t>. Th</w:t>
      </w:r>
      <w:r w:rsidR="00B51EE4">
        <w:rPr>
          <w:rFonts w:cs="Arial"/>
          <w:color w:val="000000"/>
          <w:sz w:val="22"/>
          <w:szCs w:val="22"/>
        </w:rPr>
        <w:t xml:space="preserve">is </w:t>
      </w:r>
      <w:r w:rsidRPr="00796A05">
        <w:rPr>
          <w:rFonts w:cs="Arial"/>
          <w:color w:val="000000"/>
          <w:sz w:val="22"/>
          <w:szCs w:val="22"/>
        </w:rPr>
        <w:t>offer</w:t>
      </w:r>
      <w:r w:rsidR="00B51EE4">
        <w:rPr>
          <w:rFonts w:cs="Arial"/>
          <w:color w:val="000000"/>
          <w:sz w:val="22"/>
          <w:szCs w:val="22"/>
        </w:rPr>
        <w:t>s</w:t>
      </w:r>
      <w:r w:rsidRPr="00796A05">
        <w:rPr>
          <w:rFonts w:cs="Arial"/>
          <w:color w:val="000000"/>
          <w:sz w:val="22"/>
          <w:szCs w:val="22"/>
        </w:rPr>
        <w:t xml:space="preserve"> a new interpretation that goes beyond findings of the primary studies included</w:t>
      </w:r>
      <w:r>
        <w:rPr>
          <w:rFonts w:cs="Arial"/>
          <w:color w:val="000000"/>
          <w:sz w:val="22"/>
          <w:szCs w:val="22"/>
        </w:rPr>
        <w:t xml:space="preserve"> </w:t>
      </w:r>
      <w:r w:rsidRPr="00796A05">
        <w:rPr>
          <w:rFonts w:cs="Arial"/>
          <w:color w:val="000000"/>
          <w:sz w:val="22"/>
          <w:szCs w:val="22"/>
        </w:rPr>
        <w:t xml:space="preserve">in the meta-synthesis. </w:t>
      </w:r>
    </w:p>
    <w:p w14:paraId="4103C027" w14:textId="77777777" w:rsidR="00796A05" w:rsidRDefault="00796A05" w:rsidP="00796A05">
      <w:pPr>
        <w:pBdr>
          <w:top w:val="nil"/>
          <w:left w:val="nil"/>
          <w:bottom w:val="nil"/>
          <w:right w:val="nil"/>
          <w:between w:val="nil"/>
        </w:pBdr>
        <w:rPr>
          <w:rFonts w:cs="Arial"/>
          <w:color w:val="000000"/>
          <w:sz w:val="22"/>
          <w:szCs w:val="22"/>
        </w:rPr>
      </w:pPr>
    </w:p>
    <w:p w14:paraId="4A0C3058" w14:textId="5DB9A5C1" w:rsidR="00796A05" w:rsidRDefault="00796A05" w:rsidP="00796A05">
      <w:pPr>
        <w:pBdr>
          <w:top w:val="nil"/>
          <w:left w:val="nil"/>
          <w:bottom w:val="nil"/>
          <w:right w:val="nil"/>
          <w:between w:val="nil"/>
        </w:pBdr>
        <w:rPr>
          <w:rFonts w:cs="Arial"/>
          <w:color w:val="000000"/>
          <w:sz w:val="22"/>
          <w:szCs w:val="22"/>
        </w:rPr>
      </w:pPr>
      <w:r w:rsidRPr="00796A05">
        <w:rPr>
          <w:rFonts w:cs="Arial"/>
          <w:color w:val="000000"/>
          <w:sz w:val="22"/>
          <w:szCs w:val="22"/>
        </w:rPr>
        <w:t>This inductive approach involve</w:t>
      </w:r>
      <w:r w:rsidR="001C28FD">
        <w:rPr>
          <w:rFonts w:cs="Arial"/>
          <w:color w:val="000000"/>
          <w:sz w:val="22"/>
          <w:szCs w:val="22"/>
        </w:rPr>
        <w:t>d</w:t>
      </w:r>
      <w:r w:rsidRPr="00796A05">
        <w:rPr>
          <w:rFonts w:cs="Arial"/>
          <w:color w:val="000000"/>
          <w:sz w:val="22"/>
          <w:szCs w:val="22"/>
        </w:rPr>
        <w:t xml:space="preserve"> a </w:t>
      </w:r>
      <w:r w:rsidR="00D42906">
        <w:rPr>
          <w:rFonts w:cs="Arial"/>
          <w:color w:val="000000"/>
          <w:sz w:val="22"/>
          <w:szCs w:val="22"/>
        </w:rPr>
        <w:t>three</w:t>
      </w:r>
      <w:r w:rsidRPr="00796A05">
        <w:rPr>
          <w:rFonts w:cs="Arial"/>
          <w:color w:val="000000"/>
          <w:sz w:val="22"/>
          <w:szCs w:val="22"/>
        </w:rPr>
        <w:t>-step process:</w:t>
      </w:r>
    </w:p>
    <w:p w14:paraId="2E3D5D33" w14:textId="56091FC6" w:rsidR="00796A05" w:rsidRPr="00796A05" w:rsidRDefault="001C28FD" w:rsidP="00796A05">
      <w:pPr>
        <w:pStyle w:val="ListParagraph"/>
        <w:numPr>
          <w:ilvl w:val="0"/>
          <w:numId w:val="12"/>
        </w:numPr>
        <w:pBdr>
          <w:top w:val="nil"/>
          <w:left w:val="nil"/>
          <w:bottom w:val="nil"/>
          <w:right w:val="nil"/>
          <w:between w:val="nil"/>
        </w:pBdr>
        <w:rPr>
          <w:rFonts w:cs="Arial"/>
          <w:color w:val="000000"/>
          <w:sz w:val="22"/>
          <w:szCs w:val="22"/>
        </w:rPr>
      </w:pPr>
      <w:r>
        <w:rPr>
          <w:rFonts w:cs="Arial"/>
          <w:color w:val="000000"/>
          <w:sz w:val="22"/>
          <w:szCs w:val="22"/>
        </w:rPr>
        <w:t>l</w:t>
      </w:r>
      <w:r w:rsidR="00796A05" w:rsidRPr="00796A05">
        <w:rPr>
          <w:rFonts w:cs="Arial"/>
          <w:color w:val="000000"/>
          <w:sz w:val="22"/>
          <w:szCs w:val="22"/>
        </w:rPr>
        <w:t xml:space="preserve">iterature search and </w:t>
      </w:r>
      <w:r w:rsidR="00C108A2" w:rsidRPr="00796A05">
        <w:rPr>
          <w:rFonts w:cs="Arial"/>
          <w:color w:val="000000"/>
          <w:sz w:val="22"/>
          <w:szCs w:val="22"/>
        </w:rPr>
        <w:t>selection,</w:t>
      </w:r>
    </w:p>
    <w:p w14:paraId="676A9574" w14:textId="4DC154C4" w:rsidR="00796A05" w:rsidRPr="00796A05" w:rsidRDefault="001C28FD" w:rsidP="00796A05">
      <w:pPr>
        <w:pStyle w:val="ListParagraph"/>
        <w:numPr>
          <w:ilvl w:val="0"/>
          <w:numId w:val="12"/>
        </w:numPr>
        <w:pBdr>
          <w:top w:val="nil"/>
          <w:left w:val="nil"/>
          <w:bottom w:val="nil"/>
          <w:right w:val="nil"/>
          <w:between w:val="nil"/>
        </w:pBdr>
        <w:rPr>
          <w:rFonts w:cs="Arial"/>
          <w:color w:val="000000"/>
          <w:sz w:val="22"/>
          <w:szCs w:val="22"/>
        </w:rPr>
      </w:pPr>
      <w:r>
        <w:rPr>
          <w:rFonts w:cs="Arial"/>
          <w:color w:val="000000"/>
          <w:sz w:val="22"/>
          <w:szCs w:val="22"/>
        </w:rPr>
        <w:t>q</w:t>
      </w:r>
      <w:r w:rsidR="00796A05" w:rsidRPr="00796A05">
        <w:rPr>
          <w:rFonts w:cs="Arial"/>
          <w:color w:val="000000"/>
          <w:sz w:val="22"/>
          <w:szCs w:val="22"/>
        </w:rPr>
        <w:t>uality appraisal of the primary studies</w:t>
      </w:r>
      <w:r>
        <w:rPr>
          <w:rFonts w:cs="Arial"/>
          <w:color w:val="000000"/>
          <w:sz w:val="22"/>
          <w:szCs w:val="22"/>
        </w:rPr>
        <w:t>; and</w:t>
      </w:r>
    </w:p>
    <w:p w14:paraId="02CFA38C" w14:textId="29842259" w:rsidR="008A006A" w:rsidRPr="00796A05" w:rsidRDefault="00C108A2" w:rsidP="00796A05">
      <w:pPr>
        <w:pStyle w:val="ListParagraph"/>
        <w:numPr>
          <w:ilvl w:val="0"/>
          <w:numId w:val="12"/>
        </w:numPr>
        <w:pBdr>
          <w:top w:val="nil"/>
          <w:left w:val="nil"/>
          <w:bottom w:val="nil"/>
          <w:right w:val="nil"/>
          <w:between w:val="nil"/>
        </w:pBdr>
        <w:rPr>
          <w:rFonts w:cs="Arial"/>
          <w:color w:val="000000"/>
          <w:sz w:val="22"/>
          <w:szCs w:val="22"/>
        </w:rPr>
      </w:pPr>
      <w:r>
        <w:rPr>
          <w:rFonts w:cs="Arial"/>
          <w:color w:val="000000"/>
          <w:sz w:val="22"/>
          <w:szCs w:val="22"/>
        </w:rPr>
        <w:t>s</w:t>
      </w:r>
      <w:r w:rsidR="00796A05" w:rsidRPr="00796A05">
        <w:rPr>
          <w:rFonts w:cs="Arial"/>
          <w:color w:val="000000"/>
          <w:sz w:val="22"/>
          <w:szCs w:val="22"/>
        </w:rPr>
        <w:t>ynthesis of themes within and across primary studies that leads to the development of new descriptive, analytical themes (Tong et al., 2016).</w:t>
      </w:r>
    </w:p>
    <w:p w14:paraId="6B1546F9" w14:textId="77777777" w:rsidR="007F3D5A" w:rsidRDefault="007F3D5A" w:rsidP="009F6199">
      <w:pPr>
        <w:pBdr>
          <w:top w:val="nil"/>
          <w:left w:val="nil"/>
          <w:bottom w:val="nil"/>
          <w:right w:val="nil"/>
          <w:between w:val="nil"/>
        </w:pBdr>
        <w:rPr>
          <w:rFonts w:cs="Arial"/>
          <w:color w:val="000000"/>
          <w:sz w:val="22"/>
          <w:szCs w:val="22"/>
        </w:rPr>
      </w:pPr>
    </w:p>
    <w:p w14:paraId="57D05F4A" w14:textId="77777777" w:rsidR="00A068D2" w:rsidRDefault="00A068D2" w:rsidP="009F6199">
      <w:pPr>
        <w:pBdr>
          <w:top w:val="nil"/>
          <w:left w:val="nil"/>
          <w:bottom w:val="nil"/>
          <w:right w:val="nil"/>
          <w:between w:val="nil"/>
        </w:pBdr>
        <w:rPr>
          <w:sz w:val="22"/>
          <w:szCs w:val="22"/>
        </w:rPr>
      </w:pPr>
      <w:r w:rsidRPr="00A068D2">
        <w:rPr>
          <w:sz w:val="22"/>
          <w:szCs w:val="22"/>
        </w:rPr>
        <w:t xml:space="preserve">Rigor was evaluated based on the use of procedures </w:t>
      </w:r>
    </w:p>
    <w:p w14:paraId="2CA25613" w14:textId="03C59DD8" w:rsidR="00A068D2" w:rsidRPr="00A068D2" w:rsidRDefault="00A068D2" w:rsidP="00A068D2">
      <w:pPr>
        <w:pStyle w:val="ListParagraph"/>
        <w:numPr>
          <w:ilvl w:val="0"/>
          <w:numId w:val="15"/>
        </w:numPr>
        <w:pBdr>
          <w:top w:val="nil"/>
          <w:left w:val="nil"/>
          <w:bottom w:val="nil"/>
          <w:right w:val="nil"/>
          <w:between w:val="nil"/>
        </w:pBdr>
        <w:rPr>
          <w:sz w:val="22"/>
          <w:szCs w:val="22"/>
        </w:rPr>
      </w:pPr>
      <w:r w:rsidRPr="00A068D2">
        <w:rPr>
          <w:sz w:val="22"/>
          <w:szCs w:val="22"/>
        </w:rPr>
        <w:t xml:space="preserve">to establish trustworthiness through credibility, transferability, dependability, and confirmability; and </w:t>
      </w:r>
    </w:p>
    <w:p w14:paraId="680DC86C" w14:textId="32F4BA0F" w:rsidR="00A068D2" w:rsidRPr="00A068D2" w:rsidRDefault="00A068D2" w:rsidP="00A068D2">
      <w:pPr>
        <w:pStyle w:val="ListParagraph"/>
        <w:numPr>
          <w:ilvl w:val="0"/>
          <w:numId w:val="15"/>
        </w:numPr>
        <w:pBdr>
          <w:top w:val="nil"/>
          <w:left w:val="nil"/>
          <w:bottom w:val="nil"/>
          <w:right w:val="nil"/>
          <w:between w:val="nil"/>
        </w:pBdr>
        <w:rPr>
          <w:rFonts w:cs="Arial"/>
          <w:color w:val="000000"/>
          <w:sz w:val="20"/>
          <w:szCs w:val="20"/>
        </w:rPr>
      </w:pPr>
      <w:r w:rsidRPr="00A068D2">
        <w:rPr>
          <w:sz w:val="22"/>
          <w:szCs w:val="22"/>
        </w:rPr>
        <w:t>identified as quality indicators for the data collection method used.</w:t>
      </w:r>
    </w:p>
    <w:p w14:paraId="5F79A8E3" w14:textId="77777777" w:rsidR="00A068D2" w:rsidRDefault="00A068D2" w:rsidP="009F6199">
      <w:pPr>
        <w:pBdr>
          <w:top w:val="nil"/>
          <w:left w:val="nil"/>
          <w:bottom w:val="nil"/>
          <w:right w:val="nil"/>
          <w:between w:val="nil"/>
        </w:pBdr>
        <w:rPr>
          <w:rFonts w:cs="Arial"/>
          <w:color w:val="000000"/>
          <w:sz w:val="22"/>
          <w:szCs w:val="22"/>
        </w:rPr>
      </w:pPr>
    </w:p>
    <w:p w14:paraId="76674E72" w14:textId="2C84BF32" w:rsidR="007F3D5A" w:rsidRDefault="000D2FB5" w:rsidP="009F6199">
      <w:pPr>
        <w:pBdr>
          <w:top w:val="nil"/>
          <w:left w:val="nil"/>
          <w:bottom w:val="nil"/>
          <w:right w:val="nil"/>
          <w:between w:val="nil"/>
        </w:pBdr>
        <w:rPr>
          <w:rFonts w:cs="Arial"/>
          <w:b/>
          <w:bCs/>
          <w:color w:val="000000"/>
          <w:sz w:val="22"/>
          <w:szCs w:val="22"/>
        </w:rPr>
      </w:pPr>
      <w:r w:rsidRPr="000D2FB5">
        <w:rPr>
          <w:rFonts w:cs="Arial"/>
          <w:b/>
          <w:bCs/>
          <w:color w:val="000000"/>
          <w:sz w:val="22"/>
          <w:szCs w:val="22"/>
        </w:rPr>
        <w:t>What did the researchers find?</w:t>
      </w:r>
    </w:p>
    <w:p w14:paraId="3534B4F9" w14:textId="77777777" w:rsidR="00130F90" w:rsidRPr="000D2FB5" w:rsidRDefault="00130F90" w:rsidP="009F6199">
      <w:pPr>
        <w:pBdr>
          <w:top w:val="nil"/>
          <w:left w:val="nil"/>
          <w:bottom w:val="nil"/>
          <w:right w:val="nil"/>
          <w:between w:val="nil"/>
        </w:pBdr>
        <w:rPr>
          <w:rFonts w:cs="Arial"/>
          <w:b/>
          <w:bCs/>
          <w:color w:val="000000"/>
          <w:sz w:val="22"/>
          <w:szCs w:val="22"/>
        </w:rPr>
      </w:pPr>
    </w:p>
    <w:p w14:paraId="79A9130C" w14:textId="2ADEA6A5" w:rsidR="00787D6F" w:rsidRDefault="00787D6F" w:rsidP="00787D6F">
      <w:pPr>
        <w:pBdr>
          <w:top w:val="nil"/>
          <w:left w:val="nil"/>
          <w:bottom w:val="nil"/>
          <w:right w:val="nil"/>
          <w:between w:val="nil"/>
        </w:pBdr>
        <w:rPr>
          <w:rFonts w:cs="Arial"/>
          <w:color w:val="000000"/>
          <w:sz w:val="22"/>
          <w:szCs w:val="22"/>
        </w:rPr>
      </w:pPr>
      <w:r w:rsidRPr="00787D6F">
        <w:rPr>
          <w:rFonts w:cs="Arial"/>
          <w:color w:val="000000"/>
          <w:sz w:val="22"/>
          <w:szCs w:val="22"/>
        </w:rPr>
        <w:t xml:space="preserve">Eight </w:t>
      </w:r>
      <w:r w:rsidR="00197AF9">
        <w:rPr>
          <w:rFonts w:cs="Arial"/>
          <w:color w:val="000000"/>
          <w:sz w:val="22"/>
          <w:szCs w:val="22"/>
        </w:rPr>
        <w:t>qualitative</w:t>
      </w:r>
      <w:r w:rsidRPr="00787D6F">
        <w:rPr>
          <w:rFonts w:cs="Arial"/>
          <w:color w:val="000000"/>
          <w:sz w:val="22"/>
          <w:szCs w:val="22"/>
        </w:rPr>
        <w:t xml:space="preserve"> studies were included in the meta-synthesis. Evaluation of</w:t>
      </w:r>
      <w:r w:rsidR="00197AF9">
        <w:rPr>
          <w:rFonts w:cs="Arial"/>
          <w:color w:val="000000"/>
          <w:sz w:val="22"/>
          <w:szCs w:val="22"/>
        </w:rPr>
        <w:t xml:space="preserve"> </w:t>
      </w:r>
      <w:r w:rsidR="006C551F">
        <w:rPr>
          <w:rFonts w:cs="Arial"/>
          <w:color w:val="000000"/>
          <w:sz w:val="22"/>
          <w:szCs w:val="22"/>
        </w:rPr>
        <w:t xml:space="preserve">the </w:t>
      </w:r>
      <w:r w:rsidRPr="00787D6F">
        <w:rPr>
          <w:rFonts w:cs="Arial"/>
          <w:color w:val="000000"/>
          <w:sz w:val="22"/>
          <w:szCs w:val="22"/>
        </w:rPr>
        <w:t xml:space="preserve">studies indicated that </w:t>
      </w:r>
      <w:r w:rsidR="00D42906">
        <w:rPr>
          <w:rFonts w:cs="Arial"/>
          <w:color w:val="000000"/>
          <w:sz w:val="22"/>
          <w:szCs w:val="22"/>
        </w:rPr>
        <w:t xml:space="preserve">they </w:t>
      </w:r>
      <w:r w:rsidRPr="00787D6F">
        <w:rPr>
          <w:rFonts w:cs="Arial"/>
          <w:color w:val="000000"/>
          <w:sz w:val="22"/>
          <w:szCs w:val="22"/>
        </w:rPr>
        <w:t>all utili</w:t>
      </w:r>
      <w:r w:rsidR="0024604A">
        <w:rPr>
          <w:rFonts w:cs="Arial"/>
          <w:color w:val="000000"/>
          <w:sz w:val="22"/>
          <w:szCs w:val="22"/>
        </w:rPr>
        <w:t>s</w:t>
      </w:r>
      <w:r w:rsidRPr="00787D6F">
        <w:rPr>
          <w:rFonts w:cs="Arial"/>
          <w:color w:val="000000"/>
          <w:sz w:val="22"/>
          <w:szCs w:val="22"/>
        </w:rPr>
        <w:t>ed methods to establish trustworthiness and</w:t>
      </w:r>
      <w:r w:rsidR="006C551F">
        <w:rPr>
          <w:rFonts w:cs="Arial"/>
          <w:color w:val="000000"/>
          <w:sz w:val="22"/>
          <w:szCs w:val="22"/>
        </w:rPr>
        <w:t xml:space="preserve"> </w:t>
      </w:r>
      <w:r w:rsidRPr="00787D6F">
        <w:rPr>
          <w:rFonts w:cs="Arial"/>
          <w:color w:val="000000"/>
          <w:sz w:val="22"/>
          <w:szCs w:val="22"/>
        </w:rPr>
        <w:t>ensure rigorous methodology for the type of data collected, indicating high-quality of the studies.</w:t>
      </w:r>
    </w:p>
    <w:p w14:paraId="24BD0DA7" w14:textId="77777777" w:rsidR="00787D6F" w:rsidRDefault="00787D6F" w:rsidP="00C33937">
      <w:pPr>
        <w:pBdr>
          <w:top w:val="nil"/>
          <w:left w:val="nil"/>
          <w:bottom w:val="nil"/>
          <w:right w:val="nil"/>
          <w:between w:val="nil"/>
        </w:pBdr>
        <w:rPr>
          <w:rFonts w:cs="Arial"/>
          <w:color w:val="000000"/>
          <w:sz w:val="22"/>
          <w:szCs w:val="22"/>
        </w:rPr>
      </w:pPr>
    </w:p>
    <w:p w14:paraId="6ADFDFCA" w14:textId="424FE71A" w:rsidR="00C33937" w:rsidRDefault="00C33937" w:rsidP="00C33937">
      <w:pPr>
        <w:pBdr>
          <w:top w:val="nil"/>
          <w:left w:val="nil"/>
          <w:bottom w:val="nil"/>
          <w:right w:val="nil"/>
          <w:between w:val="nil"/>
        </w:pBdr>
        <w:rPr>
          <w:rFonts w:cs="Arial"/>
          <w:color w:val="000000"/>
          <w:sz w:val="22"/>
          <w:szCs w:val="22"/>
        </w:rPr>
      </w:pPr>
      <w:r w:rsidRPr="00C33937">
        <w:rPr>
          <w:rFonts w:cs="Arial"/>
          <w:color w:val="000000"/>
          <w:sz w:val="22"/>
          <w:szCs w:val="22"/>
        </w:rPr>
        <w:t>As a result of</w:t>
      </w:r>
      <w:r>
        <w:rPr>
          <w:rFonts w:cs="Arial"/>
          <w:color w:val="000000"/>
          <w:sz w:val="22"/>
          <w:szCs w:val="22"/>
        </w:rPr>
        <w:t xml:space="preserve"> </w:t>
      </w:r>
      <w:r w:rsidRPr="00C33937">
        <w:rPr>
          <w:rFonts w:cs="Arial"/>
          <w:color w:val="000000"/>
          <w:sz w:val="22"/>
          <w:szCs w:val="22"/>
        </w:rPr>
        <w:t>the analysis of these data, three analytic</w:t>
      </w:r>
      <w:r>
        <w:rPr>
          <w:rFonts w:cs="Arial"/>
          <w:color w:val="000000"/>
          <w:sz w:val="22"/>
          <w:szCs w:val="22"/>
        </w:rPr>
        <w:t xml:space="preserve"> </w:t>
      </w:r>
      <w:r w:rsidRPr="00C33937">
        <w:rPr>
          <w:rFonts w:cs="Arial"/>
          <w:color w:val="000000"/>
          <w:sz w:val="22"/>
          <w:szCs w:val="22"/>
        </w:rPr>
        <w:t>themes were developed.</w:t>
      </w:r>
      <w:r w:rsidR="00E63200">
        <w:rPr>
          <w:rFonts w:cs="Arial"/>
          <w:color w:val="000000"/>
          <w:sz w:val="22"/>
          <w:szCs w:val="22"/>
        </w:rPr>
        <w:t>:</w:t>
      </w:r>
    </w:p>
    <w:p w14:paraId="40034FA9" w14:textId="77777777" w:rsidR="00C33937" w:rsidRPr="00C33937" w:rsidRDefault="00C33937" w:rsidP="00C33937">
      <w:pPr>
        <w:pBdr>
          <w:top w:val="nil"/>
          <w:left w:val="nil"/>
          <w:bottom w:val="nil"/>
          <w:right w:val="nil"/>
          <w:between w:val="nil"/>
        </w:pBdr>
        <w:rPr>
          <w:rFonts w:cs="Arial"/>
          <w:color w:val="000000"/>
          <w:sz w:val="22"/>
          <w:szCs w:val="22"/>
        </w:rPr>
      </w:pPr>
    </w:p>
    <w:p w14:paraId="6945AEFF" w14:textId="618FCB17" w:rsidR="000D2FB5" w:rsidRDefault="00CC1B2C" w:rsidP="00C33937">
      <w:pPr>
        <w:pStyle w:val="ListParagraph"/>
        <w:numPr>
          <w:ilvl w:val="0"/>
          <w:numId w:val="13"/>
        </w:numPr>
        <w:pBdr>
          <w:top w:val="nil"/>
          <w:left w:val="nil"/>
          <w:bottom w:val="nil"/>
          <w:right w:val="nil"/>
          <w:between w:val="nil"/>
        </w:pBdr>
        <w:rPr>
          <w:rFonts w:cs="Arial"/>
          <w:color w:val="000000"/>
          <w:sz w:val="22"/>
          <w:szCs w:val="22"/>
        </w:rPr>
      </w:pPr>
      <w:r>
        <w:rPr>
          <w:rFonts w:cs="Arial"/>
          <w:color w:val="000000"/>
          <w:sz w:val="22"/>
          <w:szCs w:val="22"/>
        </w:rPr>
        <w:t>C</w:t>
      </w:r>
      <w:r w:rsidRPr="00C33937">
        <w:rPr>
          <w:rFonts w:cs="Arial"/>
          <w:color w:val="000000"/>
          <w:sz w:val="22"/>
          <w:szCs w:val="22"/>
        </w:rPr>
        <w:t>hildren</w:t>
      </w:r>
      <w:r w:rsidR="00C33937" w:rsidRPr="00C33937">
        <w:rPr>
          <w:rFonts w:cs="Arial"/>
          <w:color w:val="000000"/>
          <w:sz w:val="22"/>
          <w:szCs w:val="22"/>
        </w:rPr>
        <w:t xml:space="preserve"> with disabilities had opportunities for access to and participation in general education EC classrooms, resulting in children with and without disabilities learning social and developmental/academic skills together.</w:t>
      </w:r>
    </w:p>
    <w:p w14:paraId="7CD12C76" w14:textId="315C401F" w:rsidR="00C33937" w:rsidRDefault="00F61B4F" w:rsidP="00F61B4F">
      <w:pPr>
        <w:pStyle w:val="ListParagraph"/>
        <w:numPr>
          <w:ilvl w:val="0"/>
          <w:numId w:val="13"/>
        </w:numPr>
        <w:pBdr>
          <w:top w:val="nil"/>
          <w:left w:val="nil"/>
          <w:bottom w:val="nil"/>
          <w:right w:val="nil"/>
          <w:between w:val="nil"/>
        </w:pBdr>
        <w:rPr>
          <w:rFonts w:cs="Arial"/>
          <w:color w:val="000000"/>
          <w:sz w:val="22"/>
          <w:szCs w:val="22"/>
        </w:rPr>
      </w:pPr>
      <w:r w:rsidRPr="00F61B4F">
        <w:rPr>
          <w:rFonts w:cs="Arial"/>
          <w:color w:val="000000"/>
          <w:sz w:val="22"/>
          <w:szCs w:val="22"/>
        </w:rPr>
        <w:t>Over time, the social interactions between children with and without</w:t>
      </w:r>
      <w:r>
        <w:rPr>
          <w:rFonts w:cs="Arial"/>
          <w:color w:val="000000"/>
          <w:sz w:val="22"/>
          <w:szCs w:val="22"/>
        </w:rPr>
        <w:t xml:space="preserve"> </w:t>
      </w:r>
      <w:r w:rsidRPr="00F61B4F">
        <w:rPr>
          <w:rFonts w:cs="Arial"/>
          <w:color w:val="000000"/>
          <w:sz w:val="22"/>
          <w:szCs w:val="22"/>
        </w:rPr>
        <w:t>disabilities resulted in positive relationships among the children and the valuing</w:t>
      </w:r>
      <w:r>
        <w:rPr>
          <w:rFonts w:cs="Arial"/>
          <w:color w:val="000000"/>
          <w:sz w:val="22"/>
          <w:szCs w:val="22"/>
        </w:rPr>
        <w:t xml:space="preserve"> </w:t>
      </w:r>
      <w:r w:rsidRPr="00F61B4F">
        <w:rPr>
          <w:rFonts w:cs="Arial"/>
          <w:color w:val="000000"/>
          <w:sz w:val="22"/>
          <w:szCs w:val="22"/>
        </w:rPr>
        <w:t>of the children with disabilities by peers.</w:t>
      </w:r>
    </w:p>
    <w:p w14:paraId="1A975CE3" w14:textId="26E0CF3B" w:rsidR="0097307A" w:rsidRPr="0097307A" w:rsidRDefault="0097307A" w:rsidP="0097307A">
      <w:pPr>
        <w:pStyle w:val="ListParagraph"/>
        <w:numPr>
          <w:ilvl w:val="0"/>
          <w:numId w:val="13"/>
        </w:numPr>
        <w:pBdr>
          <w:top w:val="nil"/>
          <w:left w:val="nil"/>
          <w:bottom w:val="nil"/>
          <w:right w:val="nil"/>
          <w:between w:val="nil"/>
        </w:pBdr>
        <w:rPr>
          <w:rFonts w:cs="Arial"/>
          <w:color w:val="000000"/>
          <w:sz w:val="22"/>
          <w:szCs w:val="22"/>
        </w:rPr>
      </w:pPr>
      <w:r w:rsidRPr="0097307A">
        <w:rPr>
          <w:rFonts w:cs="Arial"/>
          <w:color w:val="000000"/>
          <w:sz w:val="22"/>
          <w:szCs w:val="22"/>
        </w:rPr>
        <w:t>The students with and without disabilities were autonomous in their</w:t>
      </w:r>
      <w:r>
        <w:rPr>
          <w:rFonts w:cs="Arial"/>
          <w:color w:val="000000"/>
          <w:sz w:val="22"/>
          <w:szCs w:val="22"/>
        </w:rPr>
        <w:t xml:space="preserve"> </w:t>
      </w:r>
      <w:r w:rsidRPr="0097307A">
        <w:rPr>
          <w:rFonts w:cs="Arial"/>
          <w:color w:val="000000"/>
          <w:sz w:val="22"/>
          <w:szCs w:val="22"/>
        </w:rPr>
        <w:t>interactions, taking ownership of the interactions. This autonomy increased over</w:t>
      </w:r>
      <w:r>
        <w:rPr>
          <w:rFonts w:cs="Arial"/>
          <w:color w:val="000000"/>
          <w:sz w:val="22"/>
          <w:szCs w:val="22"/>
        </w:rPr>
        <w:t xml:space="preserve"> </w:t>
      </w:r>
      <w:r w:rsidRPr="0097307A">
        <w:rPr>
          <w:rFonts w:cs="Arial"/>
          <w:color w:val="000000"/>
          <w:sz w:val="22"/>
          <w:szCs w:val="22"/>
        </w:rPr>
        <w:t>time.</w:t>
      </w:r>
    </w:p>
    <w:p w14:paraId="14C9BF29" w14:textId="77777777" w:rsidR="00A03937" w:rsidRDefault="00A03937" w:rsidP="00A03937">
      <w:pPr>
        <w:pBdr>
          <w:top w:val="nil"/>
          <w:left w:val="nil"/>
          <w:bottom w:val="nil"/>
          <w:right w:val="nil"/>
          <w:between w:val="nil"/>
        </w:pBdr>
        <w:rPr>
          <w:rFonts w:cs="Arial"/>
          <w:color w:val="000000"/>
          <w:sz w:val="22"/>
          <w:szCs w:val="22"/>
        </w:rPr>
      </w:pPr>
    </w:p>
    <w:p w14:paraId="0208E1B7" w14:textId="77777777" w:rsidR="00A03937" w:rsidRPr="002766EA" w:rsidRDefault="00A03937" w:rsidP="00A03937">
      <w:pPr>
        <w:pBdr>
          <w:top w:val="nil"/>
          <w:left w:val="nil"/>
          <w:bottom w:val="nil"/>
          <w:right w:val="nil"/>
          <w:between w:val="nil"/>
        </w:pBdr>
        <w:rPr>
          <w:rFonts w:cs="Arial"/>
          <w:color w:val="000000"/>
          <w:sz w:val="22"/>
          <w:szCs w:val="22"/>
        </w:rPr>
      </w:pPr>
    </w:p>
    <w:p w14:paraId="2A0BC6DE" w14:textId="77777777" w:rsidR="00E025D4" w:rsidRPr="002766EA" w:rsidRDefault="0008207A" w:rsidP="009F6199">
      <w:pPr>
        <w:pBdr>
          <w:top w:val="nil"/>
          <w:left w:val="nil"/>
          <w:bottom w:val="nil"/>
          <w:right w:val="nil"/>
          <w:between w:val="nil"/>
        </w:pBdr>
        <w:rPr>
          <w:rFonts w:cs="Arial"/>
          <w:b/>
          <w:i/>
          <w:color w:val="000000"/>
          <w:sz w:val="22"/>
          <w:szCs w:val="22"/>
        </w:rPr>
      </w:pPr>
      <w:r w:rsidRPr="002766EA">
        <w:rPr>
          <w:rFonts w:cs="Arial"/>
          <w:b/>
          <w:i/>
          <w:color w:val="000000"/>
          <w:sz w:val="22"/>
          <w:szCs w:val="22"/>
        </w:rPr>
        <w:t xml:space="preserve">How can you use this research? </w:t>
      </w:r>
    </w:p>
    <w:p w14:paraId="2BCB7864" w14:textId="77777777" w:rsidR="00DE3CCF" w:rsidRDefault="00DE3CCF" w:rsidP="00DE3CCF">
      <w:pPr>
        <w:rPr>
          <w:sz w:val="22"/>
          <w:szCs w:val="22"/>
        </w:rPr>
      </w:pPr>
    </w:p>
    <w:p w14:paraId="1A252057" w14:textId="017EB45F" w:rsidR="0005089F" w:rsidRPr="00567462" w:rsidRDefault="0005089F" w:rsidP="0005089F">
      <w:pPr>
        <w:pBdr>
          <w:top w:val="nil"/>
          <w:left w:val="nil"/>
          <w:bottom w:val="nil"/>
          <w:right w:val="nil"/>
          <w:between w:val="nil"/>
        </w:pBdr>
        <w:rPr>
          <w:rFonts w:cs="Arial"/>
          <w:color w:val="000000"/>
          <w:sz w:val="22"/>
          <w:szCs w:val="22"/>
        </w:rPr>
      </w:pPr>
      <w:r w:rsidRPr="004D704E">
        <w:rPr>
          <w:rFonts w:cs="Arial"/>
          <w:color w:val="000000"/>
          <w:sz w:val="22"/>
          <w:szCs w:val="22"/>
        </w:rPr>
        <w:t>The focus of this study on inclusion and its benefits are consistent with ECI service and policy developments in Australia for the last decade.</w:t>
      </w:r>
      <w:r>
        <w:rPr>
          <w:rFonts w:cs="Arial"/>
          <w:color w:val="000000"/>
          <w:sz w:val="22"/>
          <w:szCs w:val="22"/>
        </w:rPr>
        <w:t xml:space="preserve"> </w:t>
      </w:r>
      <w:r w:rsidRPr="00567462">
        <w:rPr>
          <w:rFonts w:cs="Arial"/>
          <w:color w:val="000000"/>
          <w:sz w:val="22"/>
          <w:szCs w:val="22"/>
        </w:rPr>
        <w:t>This meta-synthesis provides additional evidence that EC inclusion can result in</w:t>
      </w:r>
      <w:r>
        <w:rPr>
          <w:rFonts w:cs="Arial"/>
          <w:color w:val="000000"/>
          <w:sz w:val="22"/>
          <w:szCs w:val="22"/>
        </w:rPr>
        <w:t xml:space="preserve"> </w:t>
      </w:r>
      <w:r w:rsidRPr="00567462">
        <w:rPr>
          <w:rFonts w:cs="Arial"/>
          <w:color w:val="000000"/>
          <w:sz w:val="22"/>
          <w:szCs w:val="22"/>
        </w:rPr>
        <w:t>positive outcomes for children, supporting the call to expand the availability of</w:t>
      </w:r>
      <w:r w:rsidR="00B411CD">
        <w:rPr>
          <w:rFonts w:cs="Arial"/>
          <w:color w:val="000000"/>
          <w:sz w:val="22"/>
          <w:szCs w:val="22"/>
        </w:rPr>
        <w:t xml:space="preserve"> </w:t>
      </w:r>
      <w:r w:rsidRPr="00567462">
        <w:rPr>
          <w:rFonts w:cs="Arial"/>
          <w:color w:val="000000"/>
          <w:sz w:val="22"/>
          <w:szCs w:val="22"/>
        </w:rPr>
        <w:t>high-quality inclusion programs.</w:t>
      </w:r>
      <w:r w:rsidRPr="00567462">
        <w:rPr>
          <w:sz w:val="22"/>
          <w:szCs w:val="22"/>
        </w:rPr>
        <w:t xml:space="preserve"> </w:t>
      </w:r>
      <w:r>
        <w:rPr>
          <w:sz w:val="22"/>
          <w:szCs w:val="22"/>
        </w:rPr>
        <w:t>Further, t</w:t>
      </w:r>
      <w:r w:rsidRPr="00567462">
        <w:rPr>
          <w:sz w:val="22"/>
          <w:szCs w:val="22"/>
        </w:rPr>
        <w:t>he researchers indicate that the findings highlight the need to understand the timing, type, intensity, and frequency of preservice and professional development that results in EC educators holding positive perspectives of inclusion.</w:t>
      </w:r>
      <w:r>
        <w:rPr>
          <w:sz w:val="22"/>
          <w:szCs w:val="22"/>
        </w:rPr>
        <w:t xml:space="preserve"> This provides us with further guidance on the development of undergraduate and early career support for EC educators and ECI practitioners in an Australian context as well as opportunities for future research. </w:t>
      </w:r>
    </w:p>
    <w:p w14:paraId="68A741B6" w14:textId="77777777" w:rsidR="0005089F" w:rsidRDefault="0005089F" w:rsidP="00DE3CCF">
      <w:pPr>
        <w:rPr>
          <w:sz w:val="22"/>
          <w:szCs w:val="22"/>
        </w:rPr>
      </w:pPr>
    </w:p>
    <w:p w14:paraId="792B78EA" w14:textId="0EAB9CB3" w:rsidR="00DE3CCF" w:rsidRPr="00DE3CCF" w:rsidRDefault="00DE3CCF" w:rsidP="00DE3CCF">
      <w:pPr>
        <w:rPr>
          <w:sz w:val="22"/>
          <w:szCs w:val="22"/>
        </w:rPr>
      </w:pPr>
      <w:r>
        <w:rPr>
          <w:sz w:val="22"/>
          <w:szCs w:val="22"/>
        </w:rPr>
        <w:t>In 2012, E</w:t>
      </w:r>
      <w:r w:rsidRPr="00DE3CCF">
        <w:rPr>
          <w:sz w:val="22"/>
          <w:szCs w:val="22"/>
        </w:rPr>
        <w:t xml:space="preserve">arly Childhood Australia </w:t>
      </w:r>
      <w:r>
        <w:rPr>
          <w:sz w:val="22"/>
          <w:szCs w:val="22"/>
        </w:rPr>
        <w:t xml:space="preserve">(ECA) </w:t>
      </w:r>
      <w:r w:rsidRPr="00DE3CCF">
        <w:rPr>
          <w:sz w:val="22"/>
          <w:szCs w:val="22"/>
        </w:rPr>
        <w:t xml:space="preserve">and Early Childhood Intervention Australia </w:t>
      </w:r>
      <w:r>
        <w:rPr>
          <w:sz w:val="22"/>
          <w:szCs w:val="22"/>
        </w:rPr>
        <w:t xml:space="preserve">(ECIA) developed a </w:t>
      </w:r>
      <w:r w:rsidRPr="00DE3CCF">
        <w:rPr>
          <w:sz w:val="22"/>
          <w:szCs w:val="22"/>
        </w:rPr>
        <w:t>Position statement on the inclusion of children with a disability in early childhood education and care</w:t>
      </w:r>
      <w:r>
        <w:rPr>
          <w:sz w:val="22"/>
          <w:szCs w:val="22"/>
        </w:rPr>
        <w:t>.</w:t>
      </w:r>
    </w:p>
    <w:p w14:paraId="4E0A38A2" w14:textId="77777777" w:rsidR="00DE3CCF" w:rsidRDefault="00DE3CCF" w:rsidP="005D38AF">
      <w:pPr>
        <w:rPr>
          <w:sz w:val="22"/>
          <w:szCs w:val="22"/>
        </w:rPr>
      </w:pPr>
    </w:p>
    <w:p w14:paraId="4F156DF8" w14:textId="77777777" w:rsidR="00DE3CCF" w:rsidRDefault="00D37081" w:rsidP="005D38AF">
      <w:pPr>
        <w:rPr>
          <w:sz w:val="22"/>
          <w:szCs w:val="22"/>
        </w:rPr>
      </w:pPr>
      <w:r w:rsidRPr="002766EA">
        <w:rPr>
          <w:sz w:val="22"/>
          <w:szCs w:val="22"/>
        </w:rPr>
        <w:t xml:space="preserve">Australia </w:t>
      </w:r>
      <w:r w:rsidR="00533EF0" w:rsidRPr="002766EA">
        <w:rPr>
          <w:sz w:val="22"/>
          <w:szCs w:val="22"/>
        </w:rPr>
        <w:t xml:space="preserve">has </w:t>
      </w:r>
      <w:r w:rsidR="00DE3CCF">
        <w:rPr>
          <w:sz w:val="22"/>
          <w:szCs w:val="22"/>
        </w:rPr>
        <w:t xml:space="preserve">also </w:t>
      </w:r>
      <w:r w:rsidR="00533EF0" w:rsidRPr="002766EA">
        <w:rPr>
          <w:sz w:val="22"/>
          <w:szCs w:val="22"/>
        </w:rPr>
        <w:t xml:space="preserve">developed National </w:t>
      </w:r>
      <w:r w:rsidR="005F5E49" w:rsidRPr="002766EA">
        <w:rPr>
          <w:sz w:val="22"/>
          <w:szCs w:val="22"/>
        </w:rPr>
        <w:t>Guidelines</w:t>
      </w:r>
      <w:r w:rsidR="00533EF0" w:rsidRPr="002766EA">
        <w:rPr>
          <w:sz w:val="22"/>
          <w:szCs w:val="22"/>
        </w:rPr>
        <w:t xml:space="preserve"> for </w:t>
      </w:r>
      <w:r w:rsidR="005F5E49" w:rsidRPr="002766EA">
        <w:rPr>
          <w:sz w:val="22"/>
          <w:szCs w:val="22"/>
        </w:rPr>
        <w:t>B</w:t>
      </w:r>
      <w:r w:rsidR="00533EF0" w:rsidRPr="002766EA">
        <w:rPr>
          <w:sz w:val="22"/>
          <w:szCs w:val="22"/>
        </w:rPr>
        <w:t xml:space="preserve">est </w:t>
      </w:r>
      <w:r w:rsidR="005F5E49" w:rsidRPr="002766EA">
        <w:rPr>
          <w:sz w:val="22"/>
          <w:szCs w:val="22"/>
        </w:rPr>
        <w:t>P</w:t>
      </w:r>
      <w:r w:rsidR="00533EF0" w:rsidRPr="002766EA">
        <w:rPr>
          <w:sz w:val="22"/>
          <w:szCs w:val="22"/>
        </w:rPr>
        <w:t xml:space="preserve">ractice </w:t>
      </w:r>
      <w:r w:rsidR="005F5E49" w:rsidRPr="002766EA">
        <w:rPr>
          <w:sz w:val="22"/>
          <w:szCs w:val="22"/>
        </w:rPr>
        <w:t xml:space="preserve">in ECI </w:t>
      </w:r>
      <w:r w:rsidR="00533EF0" w:rsidRPr="002766EA">
        <w:rPr>
          <w:sz w:val="22"/>
          <w:szCs w:val="22"/>
        </w:rPr>
        <w:t>(ECIA</w:t>
      </w:r>
      <w:r w:rsidR="00A65CC8" w:rsidRPr="002766EA">
        <w:rPr>
          <w:sz w:val="22"/>
          <w:szCs w:val="22"/>
        </w:rPr>
        <w:t xml:space="preserve"> Vic/Tas</w:t>
      </w:r>
      <w:r w:rsidR="00533EF0" w:rsidRPr="002766EA">
        <w:rPr>
          <w:sz w:val="22"/>
          <w:szCs w:val="22"/>
        </w:rPr>
        <w:t xml:space="preserve">, </w:t>
      </w:r>
      <w:r w:rsidR="00A65CC8" w:rsidRPr="002766EA">
        <w:rPr>
          <w:sz w:val="22"/>
          <w:szCs w:val="22"/>
        </w:rPr>
        <w:t>2016)</w:t>
      </w:r>
      <w:r w:rsidR="00CA139F">
        <w:rPr>
          <w:sz w:val="22"/>
          <w:szCs w:val="22"/>
        </w:rPr>
        <w:t xml:space="preserve"> that h</w:t>
      </w:r>
      <w:r w:rsidR="00A405FE">
        <w:rPr>
          <w:sz w:val="22"/>
          <w:szCs w:val="22"/>
        </w:rPr>
        <w:t>as</w:t>
      </w:r>
      <w:r w:rsidR="00CA139F">
        <w:rPr>
          <w:sz w:val="22"/>
          <w:szCs w:val="22"/>
        </w:rPr>
        <w:t xml:space="preserve"> inclusion as one of the </w:t>
      </w:r>
      <w:r w:rsidR="00A405FE">
        <w:rPr>
          <w:sz w:val="22"/>
          <w:szCs w:val="22"/>
        </w:rPr>
        <w:t xml:space="preserve">four </w:t>
      </w:r>
      <w:r w:rsidR="00126D10">
        <w:rPr>
          <w:sz w:val="22"/>
          <w:szCs w:val="22"/>
        </w:rPr>
        <w:t>quality areas</w:t>
      </w:r>
      <w:r w:rsidR="00CA139F">
        <w:rPr>
          <w:sz w:val="22"/>
          <w:szCs w:val="22"/>
        </w:rPr>
        <w:t xml:space="preserve">. </w:t>
      </w:r>
    </w:p>
    <w:p w14:paraId="287A8792" w14:textId="77777777" w:rsidR="00DE3CCF" w:rsidRDefault="00DE3CCF" w:rsidP="005D38AF">
      <w:pPr>
        <w:rPr>
          <w:sz w:val="22"/>
          <w:szCs w:val="22"/>
        </w:rPr>
      </w:pPr>
    </w:p>
    <w:p w14:paraId="2F6E5219" w14:textId="0428B37D" w:rsidR="00D37081" w:rsidRDefault="00914231" w:rsidP="005D38AF">
      <w:pPr>
        <w:rPr>
          <w:sz w:val="22"/>
          <w:szCs w:val="22"/>
        </w:rPr>
      </w:pPr>
      <w:r>
        <w:rPr>
          <w:sz w:val="22"/>
          <w:szCs w:val="22"/>
        </w:rPr>
        <w:t xml:space="preserve">There is currently a national project funded by </w:t>
      </w:r>
      <w:r w:rsidR="00126D10">
        <w:rPr>
          <w:sz w:val="22"/>
          <w:szCs w:val="22"/>
        </w:rPr>
        <w:t xml:space="preserve">the </w:t>
      </w:r>
      <w:r w:rsidR="00126D10" w:rsidRPr="005D38AF">
        <w:rPr>
          <w:sz w:val="22"/>
          <w:szCs w:val="22"/>
        </w:rPr>
        <w:t>Department</w:t>
      </w:r>
      <w:r w:rsidR="005D38AF" w:rsidRPr="005D38AF">
        <w:rPr>
          <w:sz w:val="22"/>
          <w:szCs w:val="22"/>
        </w:rPr>
        <w:t xml:space="preserve"> of Social </w:t>
      </w:r>
      <w:r w:rsidR="00CA139F" w:rsidRPr="005D38AF">
        <w:rPr>
          <w:sz w:val="22"/>
          <w:szCs w:val="22"/>
        </w:rPr>
        <w:t>Services</w:t>
      </w:r>
      <w:r w:rsidR="00CA139F">
        <w:rPr>
          <w:sz w:val="22"/>
          <w:szCs w:val="22"/>
        </w:rPr>
        <w:t xml:space="preserve"> to</w:t>
      </w:r>
      <w:r>
        <w:rPr>
          <w:sz w:val="22"/>
          <w:szCs w:val="22"/>
        </w:rPr>
        <w:t xml:space="preserve"> develop a</w:t>
      </w:r>
      <w:r w:rsidR="00CA139F">
        <w:rPr>
          <w:sz w:val="22"/>
          <w:szCs w:val="22"/>
        </w:rPr>
        <w:t xml:space="preserve">n ECI </w:t>
      </w:r>
      <w:r>
        <w:rPr>
          <w:sz w:val="22"/>
          <w:szCs w:val="22"/>
        </w:rPr>
        <w:t xml:space="preserve">framework </w:t>
      </w:r>
      <w:r w:rsidR="005D38AF" w:rsidRPr="005D38AF">
        <w:rPr>
          <w:sz w:val="22"/>
          <w:szCs w:val="22"/>
        </w:rPr>
        <w:t>t</w:t>
      </w:r>
      <w:r w:rsidR="005D38AF">
        <w:rPr>
          <w:sz w:val="22"/>
          <w:szCs w:val="22"/>
        </w:rPr>
        <w:t xml:space="preserve">hrough a </w:t>
      </w:r>
      <w:r w:rsidR="005D38AF" w:rsidRPr="005D38AF">
        <w:rPr>
          <w:sz w:val="22"/>
          <w:szCs w:val="22"/>
        </w:rPr>
        <w:t xml:space="preserve">consortium led by </w:t>
      </w:r>
      <w:r w:rsidR="005D38AF">
        <w:rPr>
          <w:sz w:val="22"/>
          <w:szCs w:val="22"/>
        </w:rPr>
        <w:t>the</w:t>
      </w:r>
      <w:r w:rsidR="005D38AF" w:rsidRPr="005D38AF">
        <w:rPr>
          <w:sz w:val="22"/>
          <w:szCs w:val="22"/>
        </w:rPr>
        <w:t xml:space="preserve"> University of Melbourne in partnership with Murdoch </w:t>
      </w:r>
      <w:r w:rsidR="00E63200" w:rsidRPr="005D38AF">
        <w:rPr>
          <w:sz w:val="22"/>
          <w:szCs w:val="22"/>
        </w:rPr>
        <w:t xml:space="preserve">Children’s </w:t>
      </w:r>
      <w:r w:rsidR="00E63200">
        <w:rPr>
          <w:sz w:val="22"/>
          <w:szCs w:val="22"/>
        </w:rPr>
        <w:t>Research</w:t>
      </w:r>
      <w:r w:rsidR="005D38AF" w:rsidRPr="005D38AF">
        <w:rPr>
          <w:sz w:val="22"/>
          <w:szCs w:val="22"/>
        </w:rPr>
        <w:t xml:space="preserve"> Institute (MCRI), Professionals and Researchers in Early </w:t>
      </w:r>
      <w:r w:rsidR="00A405FE" w:rsidRPr="005D38AF">
        <w:rPr>
          <w:sz w:val="22"/>
          <w:szCs w:val="22"/>
        </w:rPr>
        <w:t xml:space="preserve">Childhood </w:t>
      </w:r>
      <w:r w:rsidR="00A405FE">
        <w:rPr>
          <w:sz w:val="22"/>
          <w:szCs w:val="22"/>
        </w:rPr>
        <w:t>Intervention</w:t>
      </w:r>
      <w:r w:rsidR="005D38AF" w:rsidRPr="005D38AF">
        <w:rPr>
          <w:sz w:val="22"/>
          <w:szCs w:val="22"/>
        </w:rPr>
        <w:t xml:space="preserve"> (PRECI), SNAICC - National Voice for our Children</w:t>
      </w:r>
      <w:r w:rsidR="00A405FE">
        <w:rPr>
          <w:sz w:val="22"/>
          <w:szCs w:val="22"/>
        </w:rPr>
        <w:t xml:space="preserve">, </w:t>
      </w:r>
      <w:r w:rsidR="005D38AF" w:rsidRPr="005D38AF">
        <w:rPr>
          <w:sz w:val="22"/>
          <w:szCs w:val="22"/>
        </w:rPr>
        <w:t>Children and Young People with Disability Australia (CYDA)</w:t>
      </w:r>
      <w:r w:rsidR="005D38AF">
        <w:rPr>
          <w:sz w:val="22"/>
          <w:szCs w:val="22"/>
        </w:rPr>
        <w:t xml:space="preserve"> and the Association for Children with Disability (ACD).</w:t>
      </w:r>
    </w:p>
    <w:p w14:paraId="180E5FB3" w14:textId="77777777" w:rsidR="0077502A" w:rsidRPr="002766EA" w:rsidRDefault="0077502A">
      <w:pPr>
        <w:rPr>
          <w:sz w:val="22"/>
          <w:szCs w:val="22"/>
        </w:rPr>
      </w:pPr>
    </w:p>
    <w:p w14:paraId="001FC65C" w14:textId="23D81088" w:rsidR="00E025D4" w:rsidRPr="002766EA" w:rsidRDefault="0008207A">
      <w:pPr>
        <w:rPr>
          <w:b/>
          <w:i/>
          <w:sz w:val="22"/>
          <w:szCs w:val="22"/>
        </w:rPr>
      </w:pPr>
      <w:r w:rsidRPr="002766EA">
        <w:rPr>
          <w:b/>
          <w:i/>
          <w:sz w:val="22"/>
          <w:szCs w:val="22"/>
        </w:rPr>
        <w:t>Where to from here</w:t>
      </w:r>
      <w:r w:rsidR="00EC2055">
        <w:rPr>
          <w:b/>
          <w:i/>
          <w:sz w:val="22"/>
          <w:szCs w:val="22"/>
        </w:rPr>
        <w:t>?</w:t>
      </w:r>
    </w:p>
    <w:p w14:paraId="688395CF" w14:textId="77777777" w:rsidR="0010197D" w:rsidRPr="002766EA" w:rsidRDefault="0010197D">
      <w:pPr>
        <w:rPr>
          <w:b/>
          <w:i/>
          <w:sz w:val="22"/>
          <w:szCs w:val="22"/>
        </w:rPr>
      </w:pPr>
    </w:p>
    <w:p w14:paraId="629B6AA4" w14:textId="4FAD6B1B" w:rsidR="00A50319" w:rsidRDefault="0010197D" w:rsidP="00523B2E">
      <w:pPr>
        <w:rPr>
          <w:bCs/>
          <w:iCs/>
          <w:sz w:val="22"/>
          <w:szCs w:val="22"/>
        </w:rPr>
      </w:pPr>
      <w:r w:rsidRPr="002766EA">
        <w:rPr>
          <w:bCs/>
          <w:iCs/>
          <w:sz w:val="22"/>
          <w:szCs w:val="22"/>
        </w:rPr>
        <w:t xml:space="preserve">You can find </w:t>
      </w:r>
      <w:r w:rsidR="001B74B0">
        <w:rPr>
          <w:bCs/>
          <w:iCs/>
          <w:sz w:val="22"/>
          <w:szCs w:val="22"/>
        </w:rPr>
        <w:t>further information and resources here:</w:t>
      </w:r>
      <w:r w:rsidRPr="002766EA">
        <w:rPr>
          <w:bCs/>
          <w:iCs/>
          <w:sz w:val="22"/>
          <w:szCs w:val="22"/>
        </w:rPr>
        <w:t xml:space="preserve"> </w:t>
      </w:r>
    </w:p>
    <w:p w14:paraId="1F2E9B16" w14:textId="77777777" w:rsidR="0029136E" w:rsidRDefault="0029136E" w:rsidP="00523B2E">
      <w:pPr>
        <w:rPr>
          <w:bCs/>
          <w:iCs/>
          <w:sz w:val="22"/>
          <w:szCs w:val="22"/>
        </w:rPr>
      </w:pPr>
    </w:p>
    <w:p w14:paraId="7C772795" w14:textId="77777777" w:rsidR="002A333E" w:rsidRDefault="0029136E" w:rsidP="0029136E">
      <w:pPr>
        <w:pStyle w:val="ListParagraph"/>
        <w:numPr>
          <w:ilvl w:val="0"/>
          <w:numId w:val="14"/>
        </w:numPr>
        <w:rPr>
          <w:sz w:val="22"/>
          <w:szCs w:val="22"/>
        </w:rPr>
      </w:pPr>
      <w:r w:rsidRPr="002A333E">
        <w:rPr>
          <w:sz w:val="22"/>
          <w:szCs w:val="22"/>
        </w:rPr>
        <w:t>Early Childhood Australia and Early Childhood Intervention Australia Position statement on the inclusion of children with a disability in early childhood education and care</w:t>
      </w:r>
      <w:r w:rsidR="002A333E" w:rsidRPr="002A333E">
        <w:rPr>
          <w:sz w:val="22"/>
          <w:szCs w:val="22"/>
        </w:rPr>
        <w:t xml:space="preserve"> (2012)</w:t>
      </w:r>
      <w:r w:rsidR="002A333E">
        <w:rPr>
          <w:sz w:val="22"/>
          <w:szCs w:val="22"/>
        </w:rPr>
        <w:t>.</w:t>
      </w:r>
    </w:p>
    <w:p w14:paraId="356E83E6" w14:textId="11F35DF3" w:rsidR="00C81761" w:rsidRDefault="002A333E" w:rsidP="002A333E">
      <w:pPr>
        <w:pStyle w:val="ListParagraph"/>
        <w:rPr>
          <w:sz w:val="22"/>
          <w:szCs w:val="22"/>
        </w:rPr>
      </w:pPr>
      <w:hyperlink r:id="rId10" w:history="1">
        <w:r w:rsidRPr="00D16E46">
          <w:rPr>
            <w:rStyle w:val="Hyperlink"/>
            <w:sz w:val="22"/>
            <w:szCs w:val="22"/>
          </w:rPr>
          <w:t>https://www.earlychildhoodaustralia.org.au/wp-content/uploads/2014/06/ECA_Position_statement_Disability_Inclusion_web.pdf</w:t>
        </w:r>
      </w:hyperlink>
    </w:p>
    <w:p w14:paraId="03E64CFB" w14:textId="77777777" w:rsidR="00DE3CCF" w:rsidRPr="00DE3CCF" w:rsidRDefault="00DE3CCF" w:rsidP="00DE3CCF">
      <w:pPr>
        <w:rPr>
          <w:sz w:val="22"/>
          <w:szCs w:val="22"/>
        </w:rPr>
      </w:pPr>
    </w:p>
    <w:p w14:paraId="32759B43" w14:textId="7C647B22" w:rsidR="0029136E" w:rsidRDefault="006C6419" w:rsidP="0000246A">
      <w:pPr>
        <w:pStyle w:val="ListParagraph"/>
        <w:numPr>
          <w:ilvl w:val="0"/>
          <w:numId w:val="14"/>
        </w:numPr>
        <w:rPr>
          <w:sz w:val="22"/>
          <w:szCs w:val="22"/>
        </w:rPr>
      </w:pPr>
      <w:r>
        <w:rPr>
          <w:sz w:val="22"/>
          <w:szCs w:val="22"/>
        </w:rPr>
        <w:t xml:space="preserve">Early </w:t>
      </w:r>
      <w:r w:rsidR="0015167E">
        <w:rPr>
          <w:sz w:val="22"/>
          <w:szCs w:val="22"/>
        </w:rPr>
        <w:t>Childhood Technical</w:t>
      </w:r>
      <w:r>
        <w:rPr>
          <w:sz w:val="22"/>
          <w:szCs w:val="22"/>
        </w:rPr>
        <w:t xml:space="preserve"> Assistance Centre. </w:t>
      </w:r>
      <w:r w:rsidR="0015167E">
        <w:rPr>
          <w:sz w:val="22"/>
          <w:szCs w:val="22"/>
        </w:rPr>
        <w:t>Indicators of high-quality inclusion.</w:t>
      </w:r>
    </w:p>
    <w:p w14:paraId="1AAA3EEB" w14:textId="0C096F5B" w:rsidR="0015167E" w:rsidRDefault="0015167E" w:rsidP="0015167E">
      <w:pPr>
        <w:pStyle w:val="ListParagraph"/>
        <w:rPr>
          <w:sz w:val="22"/>
          <w:szCs w:val="22"/>
        </w:rPr>
      </w:pPr>
      <w:hyperlink r:id="rId11" w:history="1">
        <w:r w:rsidRPr="00D16E46">
          <w:rPr>
            <w:rStyle w:val="Hyperlink"/>
            <w:sz w:val="22"/>
            <w:szCs w:val="22"/>
          </w:rPr>
          <w:t>https://ectacenter.org/topics/inclusion/indicators.asp</w:t>
        </w:r>
      </w:hyperlink>
    </w:p>
    <w:p w14:paraId="11B78FF7" w14:textId="77777777" w:rsidR="0000246A" w:rsidRPr="00DA5EE3" w:rsidRDefault="0000246A" w:rsidP="00DA5EE3">
      <w:pPr>
        <w:rPr>
          <w:sz w:val="22"/>
          <w:szCs w:val="22"/>
        </w:rPr>
      </w:pPr>
    </w:p>
    <w:p w14:paraId="7CB59FAF" w14:textId="525AB6E5" w:rsidR="00523B2E" w:rsidRDefault="00DA5EE3" w:rsidP="00DA5EE3">
      <w:pPr>
        <w:pStyle w:val="ListParagraph"/>
        <w:numPr>
          <w:ilvl w:val="0"/>
          <w:numId w:val="14"/>
        </w:numPr>
        <w:rPr>
          <w:sz w:val="22"/>
          <w:szCs w:val="22"/>
        </w:rPr>
      </w:pPr>
      <w:r w:rsidRPr="00DA5EE3">
        <w:rPr>
          <w:sz w:val="22"/>
          <w:szCs w:val="22"/>
        </w:rPr>
        <w:t>PRECI</w:t>
      </w:r>
    </w:p>
    <w:p w14:paraId="1B8A5E92" w14:textId="7383FAB1" w:rsidR="00DA5EE3" w:rsidRDefault="00017BAD" w:rsidP="00DA5EE3">
      <w:pPr>
        <w:ind w:left="360"/>
        <w:rPr>
          <w:sz w:val="22"/>
          <w:szCs w:val="22"/>
        </w:rPr>
      </w:pPr>
      <w:hyperlink r:id="rId12" w:history="1">
        <w:r w:rsidRPr="0018607F">
          <w:rPr>
            <w:rStyle w:val="Hyperlink"/>
            <w:sz w:val="22"/>
            <w:szCs w:val="22"/>
          </w:rPr>
          <w:t>https://www.preci.org.au/</w:t>
        </w:r>
      </w:hyperlink>
    </w:p>
    <w:p w14:paraId="414E8A3B" w14:textId="77777777" w:rsidR="00017BAD" w:rsidRPr="00DA5EE3" w:rsidRDefault="00017BAD" w:rsidP="00DA5EE3">
      <w:pPr>
        <w:ind w:left="360"/>
        <w:rPr>
          <w:sz w:val="22"/>
          <w:szCs w:val="22"/>
        </w:rPr>
      </w:pPr>
    </w:p>
    <w:p w14:paraId="079C94F5" w14:textId="77777777" w:rsidR="00E025D4" w:rsidRPr="002766EA" w:rsidRDefault="0008207A">
      <w:pPr>
        <w:rPr>
          <w:b/>
          <w:i/>
          <w:sz w:val="22"/>
          <w:szCs w:val="22"/>
        </w:rPr>
      </w:pPr>
      <w:r w:rsidRPr="002766EA">
        <w:rPr>
          <w:b/>
          <w:i/>
          <w:sz w:val="22"/>
          <w:szCs w:val="22"/>
        </w:rPr>
        <w:t>About the researchers</w:t>
      </w:r>
    </w:p>
    <w:p w14:paraId="5858E6CC" w14:textId="77777777" w:rsidR="00C75FEB" w:rsidRDefault="00C75FEB">
      <w:pPr>
        <w:rPr>
          <w:sz w:val="22"/>
          <w:szCs w:val="22"/>
        </w:rPr>
      </w:pPr>
    </w:p>
    <w:p w14:paraId="762B8409" w14:textId="77777777" w:rsidR="00BA03D3" w:rsidRPr="00523B2E" w:rsidRDefault="00BA03D3" w:rsidP="00523B2E">
      <w:pPr>
        <w:pStyle w:val="ListParagraph"/>
        <w:numPr>
          <w:ilvl w:val="0"/>
          <w:numId w:val="10"/>
        </w:numPr>
        <w:rPr>
          <w:sz w:val="22"/>
          <w:szCs w:val="22"/>
        </w:rPr>
      </w:pPr>
      <w:r w:rsidRPr="00523B2E">
        <w:rPr>
          <w:sz w:val="22"/>
          <w:szCs w:val="22"/>
        </w:rPr>
        <w:t xml:space="preserve">Dr Hanline: </w:t>
      </w:r>
      <w:r w:rsidR="00C401B8" w:rsidRPr="00523B2E">
        <w:rPr>
          <w:sz w:val="22"/>
          <w:szCs w:val="22"/>
        </w:rPr>
        <w:t xml:space="preserve">School of Teacher Education, Florida State University, Tallahassee, Florida </w:t>
      </w:r>
    </w:p>
    <w:p w14:paraId="489B05CB" w14:textId="0FC69071" w:rsidR="00BA03D3" w:rsidRPr="00523B2E" w:rsidRDefault="00BA03D3" w:rsidP="00523B2E">
      <w:pPr>
        <w:pStyle w:val="ListParagraph"/>
        <w:numPr>
          <w:ilvl w:val="0"/>
          <w:numId w:val="10"/>
        </w:numPr>
        <w:rPr>
          <w:sz w:val="22"/>
          <w:szCs w:val="22"/>
        </w:rPr>
      </w:pPr>
      <w:r w:rsidRPr="00523B2E">
        <w:rPr>
          <w:sz w:val="22"/>
          <w:szCs w:val="22"/>
        </w:rPr>
        <w:t xml:space="preserve">Dr Eldridge: </w:t>
      </w:r>
      <w:r w:rsidR="00C401B8" w:rsidRPr="00523B2E">
        <w:rPr>
          <w:sz w:val="22"/>
          <w:szCs w:val="22"/>
        </w:rPr>
        <w:t>Science Department,</w:t>
      </w:r>
      <w:r w:rsidRPr="00523B2E">
        <w:rPr>
          <w:sz w:val="22"/>
          <w:szCs w:val="22"/>
        </w:rPr>
        <w:t xml:space="preserve"> </w:t>
      </w:r>
      <w:r w:rsidR="00C401B8" w:rsidRPr="00523B2E">
        <w:rPr>
          <w:sz w:val="22"/>
          <w:szCs w:val="22"/>
        </w:rPr>
        <w:t xml:space="preserve">Omaha Public Schools, Omaha, Nebraska </w:t>
      </w:r>
    </w:p>
    <w:p w14:paraId="1D953CFE" w14:textId="67A3AB76" w:rsidR="00C401B8" w:rsidRPr="00523B2E" w:rsidRDefault="00BA03D3" w:rsidP="00523B2E">
      <w:pPr>
        <w:pStyle w:val="ListParagraph"/>
        <w:numPr>
          <w:ilvl w:val="0"/>
          <w:numId w:val="10"/>
        </w:numPr>
        <w:rPr>
          <w:sz w:val="20"/>
          <w:szCs w:val="20"/>
        </w:rPr>
      </w:pPr>
      <w:r w:rsidRPr="00523B2E">
        <w:rPr>
          <w:sz w:val="22"/>
          <w:szCs w:val="22"/>
        </w:rPr>
        <w:t xml:space="preserve">Dr Robbins: </w:t>
      </w:r>
      <w:r w:rsidR="00C401B8" w:rsidRPr="00523B2E">
        <w:rPr>
          <w:sz w:val="22"/>
          <w:szCs w:val="22"/>
        </w:rPr>
        <w:t xml:space="preserve">Department of Special Education, University of Utah, Salt Lake City, Utah </w:t>
      </w:r>
    </w:p>
    <w:p w14:paraId="305DD1ED" w14:textId="77777777" w:rsidR="00C401B8" w:rsidRPr="002766EA" w:rsidRDefault="00C401B8">
      <w:pPr>
        <w:rPr>
          <w:sz w:val="22"/>
          <w:szCs w:val="22"/>
        </w:rPr>
      </w:pPr>
    </w:p>
    <w:p w14:paraId="6EB35C83" w14:textId="77777777" w:rsidR="00CC27AE" w:rsidRDefault="00CC27AE">
      <w:pPr>
        <w:pBdr>
          <w:bottom w:val="single" w:sz="6" w:space="1" w:color="000000"/>
        </w:pBdr>
        <w:rPr>
          <w:rFonts w:cs="Arial"/>
          <w:b/>
          <w:bCs/>
          <w:color w:val="222222"/>
          <w:sz w:val="22"/>
          <w:szCs w:val="22"/>
          <w:shd w:val="clear" w:color="auto" w:fill="FFFFFF"/>
        </w:rPr>
      </w:pPr>
      <w:r w:rsidRPr="002766EA">
        <w:rPr>
          <w:rFonts w:cs="Arial"/>
          <w:b/>
          <w:bCs/>
          <w:color w:val="222222"/>
          <w:sz w:val="22"/>
          <w:szCs w:val="22"/>
          <w:shd w:val="clear" w:color="auto" w:fill="FFFFFF"/>
        </w:rPr>
        <w:t>Citation</w:t>
      </w:r>
    </w:p>
    <w:p w14:paraId="7376C0EB" w14:textId="77777777" w:rsidR="00850706" w:rsidRPr="002766EA" w:rsidRDefault="00850706">
      <w:pPr>
        <w:pBdr>
          <w:bottom w:val="single" w:sz="6" w:space="1" w:color="000000"/>
        </w:pBdr>
        <w:rPr>
          <w:rFonts w:cs="Arial"/>
          <w:b/>
          <w:bCs/>
          <w:color w:val="222222"/>
          <w:sz w:val="22"/>
          <w:szCs w:val="22"/>
          <w:shd w:val="clear" w:color="auto" w:fill="FFFFFF"/>
        </w:rPr>
      </w:pPr>
    </w:p>
    <w:p w14:paraId="2D7D52AF" w14:textId="12D41AB7" w:rsidR="00E025D4" w:rsidRDefault="00850706">
      <w:pPr>
        <w:pBdr>
          <w:bottom w:val="single" w:sz="6" w:space="1" w:color="000000"/>
        </w:pBdr>
        <w:rPr>
          <w:rFonts w:cs="Arial"/>
          <w:color w:val="222222"/>
          <w:sz w:val="22"/>
          <w:szCs w:val="22"/>
          <w:shd w:val="clear" w:color="auto" w:fill="FFFFFF"/>
        </w:rPr>
      </w:pPr>
      <w:r w:rsidRPr="00850706">
        <w:rPr>
          <w:rFonts w:cs="Arial"/>
          <w:color w:val="222222"/>
          <w:sz w:val="22"/>
          <w:szCs w:val="22"/>
          <w:shd w:val="clear" w:color="auto" w:fill="FFFFFF"/>
        </w:rPr>
        <w:t xml:space="preserve">Hanline, M. F., Eldridge, J. N., &amp; Robbins, A. (2024). </w:t>
      </w:r>
      <w:r w:rsidRPr="00850706">
        <w:rPr>
          <w:rFonts w:cs="Arial"/>
          <w:i/>
          <w:iCs/>
          <w:color w:val="222222"/>
          <w:sz w:val="22"/>
          <w:szCs w:val="22"/>
          <w:shd w:val="clear" w:color="auto" w:fill="FFFFFF"/>
        </w:rPr>
        <w:t>Meta-Synthesis of Qualitative Studies: Inclusion in the Early Childhood Years. Infants &amp; Young Children, 37</w:t>
      </w:r>
      <w:r w:rsidRPr="00850706">
        <w:rPr>
          <w:rFonts w:cs="Arial"/>
          <w:color w:val="222222"/>
          <w:sz w:val="22"/>
          <w:szCs w:val="22"/>
          <w:shd w:val="clear" w:color="auto" w:fill="FFFFFF"/>
        </w:rPr>
        <w:t>(4), 294-315.</w:t>
      </w:r>
    </w:p>
    <w:p w14:paraId="360D33AA" w14:textId="77777777" w:rsidR="00530219" w:rsidRPr="00530219" w:rsidRDefault="00530219">
      <w:pPr>
        <w:pBdr>
          <w:bottom w:val="single" w:sz="6" w:space="1" w:color="000000"/>
        </w:pBdr>
        <w:rPr>
          <w:rFonts w:cs="Arial"/>
          <w:color w:val="222222"/>
          <w:sz w:val="22"/>
          <w:szCs w:val="22"/>
          <w:shd w:val="clear" w:color="auto" w:fill="FFFFFF"/>
        </w:rPr>
      </w:pPr>
    </w:p>
    <w:p w14:paraId="3BD9D014" w14:textId="4BC9895B" w:rsidR="00E025D4" w:rsidRPr="002766EA" w:rsidRDefault="0008207A">
      <w:pPr>
        <w:pBdr>
          <w:bottom w:val="single" w:sz="6" w:space="1" w:color="000000"/>
        </w:pBdr>
        <w:rPr>
          <w:b/>
          <w:sz w:val="22"/>
          <w:szCs w:val="22"/>
        </w:rPr>
      </w:pPr>
      <w:r w:rsidRPr="002766EA">
        <w:rPr>
          <w:b/>
          <w:sz w:val="22"/>
          <w:szCs w:val="22"/>
        </w:rPr>
        <w:t>This Research Snapshot was prepared by</w:t>
      </w:r>
      <w:r w:rsidR="00DF1930" w:rsidRPr="002766EA">
        <w:rPr>
          <w:b/>
          <w:sz w:val="22"/>
          <w:szCs w:val="22"/>
        </w:rPr>
        <w:t xml:space="preserve"> Dr Kerry Bull, </w:t>
      </w:r>
      <w:r w:rsidRPr="002766EA">
        <w:rPr>
          <w:b/>
          <w:sz w:val="22"/>
          <w:szCs w:val="22"/>
        </w:rPr>
        <w:t xml:space="preserve">PRECI committee member and </w:t>
      </w:r>
      <w:r w:rsidR="00DF1930" w:rsidRPr="002766EA">
        <w:rPr>
          <w:b/>
          <w:sz w:val="22"/>
          <w:szCs w:val="22"/>
        </w:rPr>
        <w:t xml:space="preserve">Early </w:t>
      </w:r>
      <w:r w:rsidR="00CC27AE" w:rsidRPr="002766EA">
        <w:rPr>
          <w:b/>
          <w:sz w:val="22"/>
          <w:szCs w:val="22"/>
        </w:rPr>
        <w:t xml:space="preserve">Childhood and Early Intervention Consultant. </w:t>
      </w:r>
    </w:p>
    <w:p w14:paraId="2E105FB4" w14:textId="77777777" w:rsidR="00E025D4" w:rsidRPr="002766EA" w:rsidRDefault="00E025D4">
      <w:pPr>
        <w:rPr>
          <w:sz w:val="22"/>
          <w:szCs w:val="22"/>
        </w:rPr>
      </w:pPr>
    </w:p>
    <w:p w14:paraId="5ED0DABC" w14:textId="6558C59B" w:rsidR="00E025D4" w:rsidRPr="002766EA" w:rsidRDefault="0008207A" w:rsidP="002766EA">
      <w:pPr>
        <w:pBdr>
          <w:top w:val="nil"/>
          <w:left w:val="nil"/>
          <w:bottom w:val="nil"/>
          <w:right w:val="nil"/>
          <w:between w:val="nil"/>
        </w:pBdr>
        <w:rPr>
          <w:b/>
          <w:i/>
          <w:sz w:val="22"/>
          <w:szCs w:val="22"/>
        </w:rPr>
      </w:pPr>
      <w:r w:rsidRPr="002766EA">
        <w:rPr>
          <w:rFonts w:cs="Arial"/>
          <w:b/>
          <w:i/>
          <w:color w:val="42825A"/>
          <w:sz w:val="22"/>
          <w:szCs w:val="22"/>
        </w:rPr>
        <w:t xml:space="preserve">In the spirit of reconciliation PRECI acknowledges the Traditional Custodians of country throughout Australia and their connections to land, sea and community. We pay our respect to their Elders past and present and extend that respect to all Aboriginal and Torres Strait Islander peoples today. </w:t>
      </w:r>
    </w:p>
    <w:sectPr w:rsidR="00E025D4" w:rsidRPr="002766EA">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F4FD" w14:textId="77777777" w:rsidR="00732B54" w:rsidRDefault="00732B54">
      <w:r>
        <w:separator/>
      </w:r>
    </w:p>
  </w:endnote>
  <w:endnote w:type="continuationSeparator" w:id="0">
    <w:p w14:paraId="32338D49" w14:textId="77777777" w:rsidR="00732B54" w:rsidRDefault="007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C8E2" w14:textId="77777777" w:rsidR="00E025D4" w:rsidRDefault="0008207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65AE" w14:textId="77777777" w:rsidR="00732B54" w:rsidRDefault="00732B54">
      <w:r>
        <w:separator/>
      </w:r>
    </w:p>
  </w:footnote>
  <w:footnote w:type="continuationSeparator" w:id="0">
    <w:p w14:paraId="542B2D7F" w14:textId="77777777" w:rsidR="00732B54" w:rsidRDefault="0073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B00F7"/>
    <w:multiLevelType w:val="hybridMultilevel"/>
    <w:tmpl w:val="3A58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41CF"/>
    <w:multiLevelType w:val="hybridMultilevel"/>
    <w:tmpl w:val="CB5AB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F4B6B"/>
    <w:multiLevelType w:val="hybridMultilevel"/>
    <w:tmpl w:val="0F30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C4C06"/>
    <w:multiLevelType w:val="hybridMultilevel"/>
    <w:tmpl w:val="762E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E5030"/>
    <w:multiLevelType w:val="hybridMultilevel"/>
    <w:tmpl w:val="2F4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00A19"/>
    <w:multiLevelType w:val="hybridMultilevel"/>
    <w:tmpl w:val="19C4B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C8534F"/>
    <w:multiLevelType w:val="multilevel"/>
    <w:tmpl w:val="80D4C4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4ED50D0"/>
    <w:multiLevelType w:val="hybridMultilevel"/>
    <w:tmpl w:val="85A81DA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8C53651"/>
    <w:multiLevelType w:val="multilevel"/>
    <w:tmpl w:val="0CCADF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112F60"/>
    <w:multiLevelType w:val="hybridMultilevel"/>
    <w:tmpl w:val="4648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13128"/>
    <w:multiLevelType w:val="hybridMultilevel"/>
    <w:tmpl w:val="7B46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F4D4F"/>
    <w:multiLevelType w:val="hybridMultilevel"/>
    <w:tmpl w:val="4AF0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30E34"/>
    <w:multiLevelType w:val="hybridMultilevel"/>
    <w:tmpl w:val="A932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6424D"/>
    <w:multiLevelType w:val="hybridMultilevel"/>
    <w:tmpl w:val="A90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E52B4"/>
    <w:multiLevelType w:val="hybridMultilevel"/>
    <w:tmpl w:val="2318A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68641">
    <w:abstractNumId w:val="8"/>
  </w:num>
  <w:num w:numId="2" w16cid:durableId="856626158">
    <w:abstractNumId w:val="6"/>
  </w:num>
  <w:num w:numId="3" w16cid:durableId="999849090">
    <w:abstractNumId w:val="2"/>
  </w:num>
  <w:num w:numId="4" w16cid:durableId="569966998">
    <w:abstractNumId w:val="4"/>
  </w:num>
  <w:num w:numId="5" w16cid:durableId="1500001023">
    <w:abstractNumId w:val="9"/>
  </w:num>
  <w:num w:numId="6" w16cid:durableId="1729955380">
    <w:abstractNumId w:val="11"/>
  </w:num>
  <w:num w:numId="7" w16cid:durableId="1443695573">
    <w:abstractNumId w:val="3"/>
  </w:num>
  <w:num w:numId="8" w16cid:durableId="1699155912">
    <w:abstractNumId w:val="5"/>
  </w:num>
  <w:num w:numId="9" w16cid:durableId="554508987">
    <w:abstractNumId w:val="12"/>
  </w:num>
  <w:num w:numId="10" w16cid:durableId="2045130500">
    <w:abstractNumId w:val="13"/>
  </w:num>
  <w:num w:numId="11" w16cid:durableId="1771242924">
    <w:abstractNumId w:val="14"/>
  </w:num>
  <w:num w:numId="12" w16cid:durableId="667367615">
    <w:abstractNumId w:val="1"/>
  </w:num>
  <w:num w:numId="13" w16cid:durableId="320697088">
    <w:abstractNumId w:val="10"/>
  </w:num>
  <w:num w:numId="14" w16cid:durableId="1054744225">
    <w:abstractNumId w:val="0"/>
  </w:num>
  <w:num w:numId="15" w16cid:durableId="1218008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D4"/>
    <w:rsid w:val="0000246A"/>
    <w:rsid w:val="00010DB5"/>
    <w:rsid w:val="00017BAD"/>
    <w:rsid w:val="00021967"/>
    <w:rsid w:val="000259A6"/>
    <w:rsid w:val="00035987"/>
    <w:rsid w:val="0005089F"/>
    <w:rsid w:val="00052027"/>
    <w:rsid w:val="00056755"/>
    <w:rsid w:val="00065298"/>
    <w:rsid w:val="000747B7"/>
    <w:rsid w:val="0008207A"/>
    <w:rsid w:val="000827FD"/>
    <w:rsid w:val="000867EA"/>
    <w:rsid w:val="0009076E"/>
    <w:rsid w:val="000A313B"/>
    <w:rsid w:val="000B5572"/>
    <w:rsid w:val="000C009E"/>
    <w:rsid w:val="000D2FB5"/>
    <w:rsid w:val="000E1C52"/>
    <w:rsid w:val="000E59E5"/>
    <w:rsid w:val="0010197D"/>
    <w:rsid w:val="00126D10"/>
    <w:rsid w:val="00130F90"/>
    <w:rsid w:val="001377B5"/>
    <w:rsid w:val="00143632"/>
    <w:rsid w:val="00143A75"/>
    <w:rsid w:val="00150845"/>
    <w:rsid w:val="0015167E"/>
    <w:rsid w:val="0015267E"/>
    <w:rsid w:val="00156F52"/>
    <w:rsid w:val="0015779D"/>
    <w:rsid w:val="00183094"/>
    <w:rsid w:val="00197AF9"/>
    <w:rsid w:val="001A4EEF"/>
    <w:rsid w:val="001B0E18"/>
    <w:rsid w:val="001B4D6B"/>
    <w:rsid w:val="001B50DC"/>
    <w:rsid w:val="001B74B0"/>
    <w:rsid w:val="001C28FD"/>
    <w:rsid w:val="001C79E6"/>
    <w:rsid w:val="001E0385"/>
    <w:rsid w:val="001E17E9"/>
    <w:rsid w:val="001E473F"/>
    <w:rsid w:val="001E4907"/>
    <w:rsid w:val="001E5E1A"/>
    <w:rsid w:val="001E62E7"/>
    <w:rsid w:val="001F21CB"/>
    <w:rsid w:val="00205673"/>
    <w:rsid w:val="0022750E"/>
    <w:rsid w:val="00233681"/>
    <w:rsid w:val="00240A5B"/>
    <w:rsid w:val="0024604A"/>
    <w:rsid w:val="0025299F"/>
    <w:rsid w:val="002713CD"/>
    <w:rsid w:val="002736B9"/>
    <w:rsid w:val="002766EA"/>
    <w:rsid w:val="002829F4"/>
    <w:rsid w:val="00284D74"/>
    <w:rsid w:val="00287342"/>
    <w:rsid w:val="00287554"/>
    <w:rsid w:val="0029136E"/>
    <w:rsid w:val="00297E8E"/>
    <w:rsid w:val="002A1F7C"/>
    <w:rsid w:val="002A214A"/>
    <w:rsid w:val="002A333E"/>
    <w:rsid w:val="002A4682"/>
    <w:rsid w:val="002B4E1C"/>
    <w:rsid w:val="002C0699"/>
    <w:rsid w:val="002C1CC2"/>
    <w:rsid w:val="002C1E17"/>
    <w:rsid w:val="002C7FF9"/>
    <w:rsid w:val="002D202F"/>
    <w:rsid w:val="00305508"/>
    <w:rsid w:val="00311FAC"/>
    <w:rsid w:val="00320AB6"/>
    <w:rsid w:val="00334D56"/>
    <w:rsid w:val="0033735C"/>
    <w:rsid w:val="00340265"/>
    <w:rsid w:val="003406C9"/>
    <w:rsid w:val="00381626"/>
    <w:rsid w:val="00386A0A"/>
    <w:rsid w:val="00390EF7"/>
    <w:rsid w:val="00392E7F"/>
    <w:rsid w:val="003C6297"/>
    <w:rsid w:val="003D114D"/>
    <w:rsid w:val="003D6D53"/>
    <w:rsid w:val="003E3E92"/>
    <w:rsid w:val="003E6414"/>
    <w:rsid w:val="003F21F1"/>
    <w:rsid w:val="003F22F1"/>
    <w:rsid w:val="003F6C32"/>
    <w:rsid w:val="00400CE6"/>
    <w:rsid w:val="004122D9"/>
    <w:rsid w:val="00434A34"/>
    <w:rsid w:val="00445935"/>
    <w:rsid w:val="00453C57"/>
    <w:rsid w:val="0047782E"/>
    <w:rsid w:val="004821DD"/>
    <w:rsid w:val="00485353"/>
    <w:rsid w:val="00493F2F"/>
    <w:rsid w:val="00495076"/>
    <w:rsid w:val="004B22A9"/>
    <w:rsid w:val="004B34B8"/>
    <w:rsid w:val="004B624B"/>
    <w:rsid w:val="004C5CE0"/>
    <w:rsid w:val="004D1201"/>
    <w:rsid w:val="004D3745"/>
    <w:rsid w:val="004D496E"/>
    <w:rsid w:val="004D704E"/>
    <w:rsid w:val="004F77A4"/>
    <w:rsid w:val="00505FF3"/>
    <w:rsid w:val="00507FE3"/>
    <w:rsid w:val="00515067"/>
    <w:rsid w:val="00517E97"/>
    <w:rsid w:val="00523B2E"/>
    <w:rsid w:val="00526CF0"/>
    <w:rsid w:val="00530219"/>
    <w:rsid w:val="00533EF0"/>
    <w:rsid w:val="00536E71"/>
    <w:rsid w:val="005564A3"/>
    <w:rsid w:val="00567462"/>
    <w:rsid w:val="00573AAD"/>
    <w:rsid w:val="0058155B"/>
    <w:rsid w:val="005851B4"/>
    <w:rsid w:val="00591154"/>
    <w:rsid w:val="005A7DC6"/>
    <w:rsid w:val="005C5973"/>
    <w:rsid w:val="005D38AF"/>
    <w:rsid w:val="005D4675"/>
    <w:rsid w:val="005D4EE6"/>
    <w:rsid w:val="005D79CF"/>
    <w:rsid w:val="005F5E49"/>
    <w:rsid w:val="00604AA5"/>
    <w:rsid w:val="00613CCD"/>
    <w:rsid w:val="00620801"/>
    <w:rsid w:val="00626CA2"/>
    <w:rsid w:val="00634C1F"/>
    <w:rsid w:val="0065674E"/>
    <w:rsid w:val="00663ACB"/>
    <w:rsid w:val="0068623D"/>
    <w:rsid w:val="00695C07"/>
    <w:rsid w:val="006C0CBF"/>
    <w:rsid w:val="006C44C5"/>
    <w:rsid w:val="006C551F"/>
    <w:rsid w:val="006C6419"/>
    <w:rsid w:val="006D4B50"/>
    <w:rsid w:val="006E5387"/>
    <w:rsid w:val="006E6B58"/>
    <w:rsid w:val="006F70E3"/>
    <w:rsid w:val="006F7FB3"/>
    <w:rsid w:val="00700F60"/>
    <w:rsid w:val="00704066"/>
    <w:rsid w:val="0073033F"/>
    <w:rsid w:val="00732B54"/>
    <w:rsid w:val="00756B5B"/>
    <w:rsid w:val="0077502A"/>
    <w:rsid w:val="0078412E"/>
    <w:rsid w:val="0078726E"/>
    <w:rsid w:val="00787D6F"/>
    <w:rsid w:val="00796A05"/>
    <w:rsid w:val="007A42D5"/>
    <w:rsid w:val="007A4FB6"/>
    <w:rsid w:val="007A51DA"/>
    <w:rsid w:val="007C0FCA"/>
    <w:rsid w:val="007C1EDF"/>
    <w:rsid w:val="007C6EEF"/>
    <w:rsid w:val="007D06D3"/>
    <w:rsid w:val="007E4D37"/>
    <w:rsid w:val="007F18FD"/>
    <w:rsid w:val="007F3D5A"/>
    <w:rsid w:val="007F5DB3"/>
    <w:rsid w:val="00807904"/>
    <w:rsid w:val="0082575A"/>
    <w:rsid w:val="00850706"/>
    <w:rsid w:val="00863ABE"/>
    <w:rsid w:val="00867A55"/>
    <w:rsid w:val="00896931"/>
    <w:rsid w:val="0089720E"/>
    <w:rsid w:val="008A006A"/>
    <w:rsid w:val="008A5543"/>
    <w:rsid w:val="008B43A1"/>
    <w:rsid w:val="008C1A6C"/>
    <w:rsid w:val="008C2956"/>
    <w:rsid w:val="008C6A7C"/>
    <w:rsid w:val="0091302B"/>
    <w:rsid w:val="00914231"/>
    <w:rsid w:val="0092467F"/>
    <w:rsid w:val="00930753"/>
    <w:rsid w:val="00940DD5"/>
    <w:rsid w:val="00946F34"/>
    <w:rsid w:val="00952005"/>
    <w:rsid w:val="00955227"/>
    <w:rsid w:val="009605F8"/>
    <w:rsid w:val="009626FE"/>
    <w:rsid w:val="00964623"/>
    <w:rsid w:val="00971DE3"/>
    <w:rsid w:val="0097307A"/>
    <w:rsid w:val="00994E1D"/>
    <w:rsid w:val="009B0C4E"/>
    <w:rsid w:val="009B1C28"/>
    <w:rsid w:val="009C3B70"/>
    <w:rsid w:val="009C4E91"/>
    <w:rsid w:val="009F0CFD"/>
    <w:rsid w:val="009F1CF6"/>
    <w:rsid w:val="009F59C2"/>
    <w:rsid w:val="009F6199"/>
    <w:rsid w:val="00A03564"/>
    <w:rsid w:val="00A03937"/>
    <w:rsid w:val="00A068D2"/>
    <w:rsid w:val="00A13BC2"/>
    <w:rsid w:val="00A32AFB"/>
    <w:rsid w:val="00A405FE"/>
    <w:rsid w:val="00A425B5"/>
    <w:rsid w:val="00A47052"/>
    <w:rsid w:val="00A50319"/>
    <w:rsid w:val="00A50556"/>
    <w:rsid w:val="00A62DAD"/>
    <w:rsid w:val="00A62DC5"/>
    <w:rsid w:val="00A65CC8"/>
    <w:rsid w:val="00A91BC6"/>
    <w:rsid w:val="00A92967"/>
    <w:rsid w:val="00AB56C8"/>
    <w:rsid w:val="00AD650A"/>
    <w:rsid w:val="00AD7907"/>
    <w:rsid w:val="00AF169D"/>
    <w:rsid w:val="00AF5F96"/>
    <w:rsid w:val="00B15DCA"/>
    <w:rsid w:val="00B25CD7"/>
    <w:rsid w:val="00B411CD"/>
    <w:rsid w:val="00B51EE4"/>
    <w:rsid w:val="00B61BEB"/>
    <w:rsid w:val="00B635FE"/>
    <w:rsid w:val="00B73525"/>
    <w:rsid w:val="00B73DBB"/>
    <w:rsid w:val="00B76CD1"/>
    <w:rsid w:val="00B821A6"/>
    <w:rsid w:val="00B9185C"/>
    <w:rsid w:val="00B945AF"/>
    <w:rsid w:val="00B94B84"/>
    <w:rsid w:val="00BA03D3"/>
    <w:rsid w:val="00BA74C8"/>
    <w:rsid w:val="00BC31F5"/>
    <w:rsid w:val="00BC74FD"/>
    <w:rsid w:val="00BD27A7"/>
    <w:rsid w:val="00BD4256"/>
    <w:rsid w:val="00BE7126"/>
    <w:rsid w:val="00BF31FC"/>
    <w:rsid w:val="00BF657A"/>
    <w:rsid w:val="00C02440"/>
    <w:rsid w:val="00C108A2"/>
    <w:rsid w:val="00C10D89"/>
    <w:rsid w:val="00C11A52"/>
    <w:rsid w:val="00C30051"/>
    <w:rsid w:val="00C338EF"/>
    <w:rsid w:val="00C33937"/>
    <w:rsid w:val="00C3602E"/>
    <w:rsid w:val="00C401B8"/>
    <w:rsid w:val="00C47035"/>
    <w:rsid w:val="00C61E93"/>
    <w:rsid w:val="00C63B30"/>
    <w:rsid w:val="00C728E5"/>
    <w:rsid w:val="00C75FEB"/>
    <w:rsid w:val="00C81761"/>
    <w:rsid w:val="00C8285B"/>
    <w:rsid w:val="00C95A69"/>
    <w:rsid w:val="00CA0A77"/>
    <w:rsid w:val="00CA139F"/>
    <w:rsid w:val="00CA263B"/>
    <w:rsid w:val="00CA73AC"/>
    <w:rsid w:val="00CB06A0"/>
    <w:rsid w:val="00CC1B2C"/>
    <w:rsid w:val="00CC27AE"/>
    <w:rsid w:val="00CD561C"/>
    <w:rsid w:val="00CD5E46"/>
    <w:rsid w:val="00CD6A4C"/>
    <w:rsid w:val="00CE6B8E"/>
    <w:rsid w:val="00CE7E4B"/>
    <w:rsid w:val="00CF45E6"/>
    <w:rsid w:val="00CF6B65"/>
    <w:rsid w:val="00CF7921"/>
    <w:rsid w:val="00D01370"/>
    <w:rsid w:val="00D122FB"/>
    <w:rsid w:val="00D2720D"/>
    <w:rsid w:val="00D32977"/>
    <w:rsid w:val="00D37081"/>
    <w:rsid w:val="00D42906"/>
    <w:rsid w:val="00D51AF2"/>
    <w:rsid w:val="00D972B2"/>
    <w:rsid w:val="00DA297B"/>
    <w:rsid w:val="00DA5EE3"/>
    <w:rsid w:val="00DA7723"/>
    <w:rsid w:val="00DA7D86"/>
    <w:rsid w:val="00DC3228"/>
    <w:rsid w:val="00DD1C40"/>
    <w:rsid w:val="00DE0DE2"/>
    <w:rsid w:val="00DE3CCF"/>
    <w:rsid w:val="00DE6401"/>
    <w:rsid w:val="00DF1930"/>
    <w:rsid w:val="00E0074F"/>
    <w:rsid w:val="00E025D4"/>
    <w:rsid w:val="00E259B6"/>
    <w:rsid w:val="00E51D69"/>
    <w:rsid w:val="00E5504C"/>
    <w:rsid w:val="00E63200"/>
    <w:rsid w:val="00E64E30"/>
    <w:rsid w:val="00E733CC"/>
    <w:rsid w:val="00E73932"/>
    <w:rsid w:val="00E9106D"/>
    <w:rsid w:val="00E947C7"/>
    <w:rsid w:val="00EA5DBB"/>
    <w:rsid w:val="00EB5BEB"/>
    <w:rsid w:val="00EC2055"/>
    <w:rsid w:val="00EC77BE"/>
    <w:rsid w:val="00ED19D9"/>
    <w:rsid w:val="00ED5AD0"/>
    <w:rsid w:val="00EE635A"/>
    <w:rsid w:val="00F302E5"/>
    <w:rsid w:val="00F55B88"/>
    <w:rsid w:val="00F61B4F"/>
    <w:rsid w:val="00F837E6"/>
    <w:rsid w:val="00F85CC4"/>
    <w:rsid w:val="00F97E21"/>
    <w:rsid w:val="00FA7F2D"/>
    <w:rsid w:val="00FD56CA"/>
    <w:rsid w:val="00FD5F8D"/>
    <w:rsid w:val="00FE541F"/>
    <w:rsid w:val="00FF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BBC5"/>
  <w15:docId w15:val="{D8421188-1053-4591-BC5E-8426DA24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953"/>
    <w:rPr>
      <w:rFonts w:cs="Calibri"/>
      <w:lang w:eastAsia="en-A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3F6F78"/>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3F6F7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D79CF"/>
    <w:rPr>
      <w:color w:val="0563C1" w:themeColor="hyperlink"/>
      <w:u w:val="single"/>
    </w:rPr>
  </w:style>
  <w:style w:type="character" w:styleId="UnresolvedMention">
    <w:name w:val="Unresolved Mention"/>
    <w:basedOn w:val="DefaultParagraphFont"/>
    <w:uiPriority w:val="99"/>
    <w:semiHidden/>
    <w:unhideWhenUsed/>
    <w:rsid w:val="005D79CF"/>
    <w:rPr>
      <w:color w:val="605E5C"/>
      <w:shd w:val="clear" w:color="auto" w:fill="E1DFDD"/>
    </w:rPr>
  </w:style>
  <w:style w:type="character" w:styleId="CommentReference">
    <w:name w:val="annotation reference"/>
    <w:basedOn w:val="DefaultParagraphFont"/>
    <w:uiPriority w:val="99"/>
    <w:semiHidden/>
    <w:unhideWhenUsed/>
    <w:rsid w:val="00CF7921"/>
    <w:rPr>
      <w:sz w:val="16"/>
      <w:szCs w:val="16"/>
    </w:rPr>
  </w:style>
  <w:style w:type="paragraph" w:styleId="CommentText">
    <w:name w:val="annotation text"/>
    <w:basedOn w:val="Normal"/>
    <w:link w:val="CommentTextChar"/>
    <w:uiPriority w:val="99"/>
    <w:unhideWhenUsed/>
    <w:rsid w:val="00CF7921"/>
    <w:rPr>
      <w:sz w:val="20"/>
      <w:szCs w:val="20"/>
    </w:rPr>
  </w:style>
  <w:style w:type="character" w:customStyle="1" w:styleId="CommentTextChar">
    <w:name w:val="Comment Text Char"/>
    <w:basedOn w:val="DefaultParagraphFont"/>
    <w:link w:val="CommentText"/>
    <w:uiPriority w:val="99"/>
    <w:rsid w:val="00CF7921"/>
    <w:rPr>
      <w:rFonts w:cs="Calibri"/>
      <w:sz w:val="20"/>
      <w:szCs w:val="20"/>
      <w:lang w:eastAsia="en-AU"/>
    </w:rPr>
  </w:style>
  <w:style w:type="paragraph" w:styleId="CommentSubject">
    <w:name w:val="annotation subject"/>
    <w:basedOn w:val="CommentText"/>
    <w:next w:val="CommentText"/>
    <w:link w:val="CommentSubjectChar"/>
    <w:uiPriority w:val="99"/>
    <w:semiHidden/>
    <w:unhideWhenUsed/>
    <w:rsid w:val="00CF7921"/>
    <w:rPr>
      <w:b/>
      <w:bCs/>
    </w:rPr>
  </w:style>
  <w:style w:type="character" w:customStyle="1" w:styleId="CommentSubjectChar">
    <w:name w:val="Comment Subject Char"/>
    <w:basedOn w:val="CommentTextChar"/>
    <w:link w:val="CommentSubject"/>
    <w:uiPriority w:val="99"/>
    <w:semiHidden/>
    <w:rsid w:val="00CF7921"/>
    <w:rPr>
      <w:rFonts w:cs="Calibri"/>
      <w:b/>
      <w:bCs/>
      <w:sz w:val="20"/>
      <w:szCs w:val="20"/>
      <w:lang w:eastAsia="en-AU"/>
    </w:rPr>
  </w:style>
  <w:style w:type="paragraph" w:styleId="Revision">
    <w:name w:val="Revision"/>
    <w:hidden/>
    <w:uiPriority w:val="99"/>
    <w:semiHidden/>
    <w:rsid w:val="001C79E6"/>
    <w:rPr>
      <w:rFonts w:cs="Calibri"/>
      <w:lang w:eastAsia="en-AU"/>
    </w:rPr>
  </w:style>
  <w:style w:type="character" w:styleId="FollowedHyperlink">
    <w:name w:val="FollowedHyperlink"/>
    <w:basedOn w:val="DefaultParagraphFont"/>
    <w:uiPriority w:val="99"/>
    <w:semiHidden/>
    <w:unhideWhenUsed/>
    <w:rsid w:val="00DA7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ci.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tacenter.org/topics/inclusion/indicator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arlychildhoodaustralia.org.au/wp-content/uploads/2014/06/ECA_Position_statement_Disability_Inclusion_web.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icrGs5OALunqZrAx62TyCniw==">AMUW2mWNZGVxzLimsDpsN2RaPIuhi1ZLe6YMrx7+LpZWi6fnIPp7PJuOvjVAkW5iiQEpjFEXcIGCKg7zD3lk4elpB/Y4WIeYIiukdqMHH3aooJRbig1RVb4=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Moore</dc:creator>
  <cp:lastModifiedBy>Kerry Bull</cp:lastModifiedBy>
  <cp:revision>15</cp:revision>
  <cp:lastPrinted>2024-02-21T20:34:00Z</cp:lastPrinted>
  <dcterms:created xsi:type="dcterms:W3CDTF">2024-10-02T03:37:00Z</dcterms:created>
  <dcterms:modified xsi:type="dcterms:W3CDTF">2024-10-03T10:37:00Z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52b3a1-dbcb-41fb-a452-370cf542753f_Enabled">
    <vt:lpwstr>true</vt:lpwstr>
  </property>
  <property fmtid="{D5CDD505-2E9C-101B-9397-08002B2CF9AE}" pid="3" name="MSIP_Label_1b52b3a1-dbcb-41fb-a452-370cf542753f_SetDate">
    <vt:lpwstr>2024-02-04T22:55:59Z</vt:lpwstr>
  </property>
  <property fmtid="{D5CDD505-2E9C-101B-9397-08002B2CF9AE}" pid="4" name="MSIP_Label_1b52b3a1-dbcb-41fb-a452-370cf542753f_Method">
    <vt:lpwstr>Privileged</vt:lpwstr>
  </property>
  <property fmtid="{D5CDD505-2E9C-101B-9397-08002B2CF9AE}" pid="5" name="MSIP_Label_1b52b3a1-dbcb-41fb-a452-370cf542753f_Name">
    <vt:lpwstr>Public</vt:lpwstr>
  </property>
  <property fmtid="{D5CDD505-2E9C-101B-9397-08002B2CF9AE}" pid="6" name="MSIP_Label_1b52b3a1-dbcb-41fb-a452-370cf542753f_SiteId">
    <vt:lpwstr>d1323671-cdbe-4417-b4d4-bdb24b51316b</vt:lpwstr>
  </property>
  <property fmtid="{D5CDD505-2E9C-101B-9397-08002B2CF9AE}" pid="7" name="MSIP_Label_1b52b3a1-dbcb-41fb-a452-370cf542753f_ActionId">
    <vt:lpwstr>50bc1710-3d03-4393-972d-4b968ae2e6d5</vt:lpwstr>
  </property>
  <property fmtid="{D5CDD505-2E9C-101B-9397-08002B2CF9AE}" pid="8" name="MSIP_Label_1b52b3a1-dbcb-41fb-a452-370cf542753f_ContentBits">
    <vt:lpwstr>0</vt:lpwstr>
  </property>
</Properties>
</file>