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1884045" cy="1024255"/>
            <wp:effectExtent b="0" l="0" r="0" t="0"/>
            <wp:docPr id="14504792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024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PRECI 2025 AGM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PROXY APPOINTMENT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………....................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Proxy Appointment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Membership number ……………………………………….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appoint …………………………………………………………………………..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embership Number……………………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my proxy for the purposes of the PRECI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Annual General Meeting.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Proxy Instruction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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*1 - This form authorises the proxy to vote on my/our behalf on all matters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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*2 - This form authorises the proxy to vote on my/our behalf on the following matters only: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(Specify the matters and any limitations on the manner in which you want the proxy to vote.)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(Please complete either *1 or *2)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PRECI member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…………………….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Please return this form to the PRECI secretary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preci.secretary@gmail.com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by 5.00 pm Monday, 21</w:t>
      </w:r>
      <w:r w:rsidDel="00000000" w:rsidR="00000000" w:rsidRPr="00000000">
        <w:rPr>
          <w:b w:val="1"/>
          <w:color w:val="ff0000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color w:val="ff0000"/>
          <w:rtl w:val="0"/>
        </w:rPr>
        <w:t xml:space="preserve"> November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2025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BE63B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reci.secretar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GEiAUleHq6QfO54K26qtVAMXw==">CgMxLjA4AHIhMUVyQjItMFJMX2FGMFRfT1JJUm1Xa19Ga1lheWU0RTNT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2025-10-13T05:32:00Z</dcterms:created>
  <dc:creator>Christine Johnston</dc:creator>
</cp:coreProperties>
</file>